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Worldwide Responsible Accredited Production (WRAP)</w:t>
      </w:r>
    </w:p>
    <w:p>
      <w:r>
        <w:rPr>
          <w:color w:val="595959"/>
          <w:sz w:val="20"/>
        </w:rPr>
        <w:t>Service information sheet. Sustainability and Supply Chain. Information checked 11 October 2026.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In brief</w:t>
      </w:r>
    </w:p>
    <w:p>
      <w:r>
        <w:rPr>
          <w:i w:val="0"/>
        </w:rPr>
        <w:t>WRAP (Worldwide Responsible Accredited Production) certifies that factories operate lawfully, humanely and ethically, mainly in apparel and footwear. Audits are carried out by WRAP-accredited monitoring firms. ICFC helps facilities prepare with gap assessments, corrective action support and training.</w:t>
      </w:r>
    </w:p>
    <w:p>
      <w:pPr>
        <w:pStyle w:val="Heading2"/>
      </w:pPr>
      <w:r>
        <w:t>What it is</w:t>
      </w:r>
    </w:p>
    <w:p>
      <w:r>
        <w:rPr>
          <w:i w:val="0"/>
        </w:rPr>
        <w:t>WRAP is an independent certification programme for lawful, humane and ethical manufacturing, used mainly in apparel, footwear and sewn products. Facilities are audited against WRAP's principles by WRAP-accredited monitoring firms.</w:t>
      </w:r>
    </w:p>
    <w:p>
      <w:pPr>
        <w:pStyle w:val="Heading2"/>
      </w:pPr>
      <w:r>
        <w:t>Who it is for</w:t>
      </w:r>
    </w:p>
    <w:p>
      <w:r>
        <w:rPr>
          <w:i w:val="0"/>
        </w:rPr>
        <w:t>Apparel, footwear, textile and sewn-product manufacturers supplying international brands.</w:t>
      </w:r>
    </w:p>
    <w:p>
      <w:pPr>
        <w:pStyle w:val="Heading2"/>
      </w:pPr>
      <w:r>
        <w:t>How ICFC helps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7"/>
              </w:rPr>
              <w:t>Service</w:t>
            </w:r>
          </w:p>
        </w:tc>
        <w:tc>
          <w:tcPr>
            <w:tcW w:type="dxa" w:w="7937"/>
            <w:shd w:val="clear" w:color="auto" w:fill="E7E6E6"/>
          </w:tcPr>
          <w:p>
            <w:r/>
            <w:r>
              <w:rPr>
                <w:b/>
                <w:sz w:val="17"/>
              </w:rPr>
              <w:t>What we offer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Audit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Third-party assessments: Certification is awarded under the scheme run by the WRAP organisation and its accredited monitoring firms. Where appointed, our auditors carry out assessments on behalf of the certification body; the certificate or mark is never issued by ICFC. Second-party audits: Supplier and partner checks against the scheme requirements, on behalf of your organisation. Readiness and internal audits: A pre-assessment that shows exactly what the formal assessment will look for, with a prioritised action list.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Consulting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Funding: We explain which scheme, if any, applies and what it requires before you commit. Non-grant: A fixed-scope engagement: gap assessment, documentation, implementation coaching, internal audit and management review, and support through the formal audit or assessment. How we work: Practical, proportionate systems that your staff can run after we leave.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sz w:val="17"/>
              </w:rPr>
              <w:t>Training</w:t>
            </w:r>
          </w:p>
        </w:tc>
        <w:tc>
          <w:tcPr>
            <w:tcW w:type="dxa" w:w="7937"/>
          </w:tcPr>
          <w:p>
            <w:r/>
            <w:r>
              <w:rPr>
                <w:sz w:val="17"/>
              </w:rPr>
              <w:t>Classroom: Public and in-house classroom courses on WRAP: awareness, implementation and internal auditor levels. Online LMS: Self-paced and live-online courses on the ICFC Digital LMS, with progress tracking and certificates of completion. Funding: Funding depends on each course's approval status, shown on the course page in the LMS.</w:t>
            </w:r>
          </w:p>
        </w:tc>
      </w:tr>
    </w:tbl>
    <w:p>
      <w:pPr>
        <w:spacing w:after="40"/>
      </w:pPr>
    </w:p>
    <w:p>
      <w:pPr>
        <w:pStyle w:val="Heading2"/>
      </w:pPr>
      <w:r>
        <w:t>Funding</w:t>
      </w:r>
    </w:p>
    <w:p>
      <w:r>
        <w:rPr>
          <w:b/>
        </w:rPr>
        <w:t xml:space="preserve">Not on the EDGE Standards list. </w:t>
      </w:r>
      <w:r>
        <w:rPr>
          <w:i w:val="0"/>
        </w:rPr>
        <w:t>We did not find this standard on the EDGE Standards list when we checked. Ask us about non-grant options or other schemes that may apply.</w:t>
      </w:r>
    </w:p>
    <w:p>
      <w:pPr>
        <w:pStyle w:val="Heading2"/>
      </w:pPr>
      <w:r>
        <w:t>Impartiality</w:t>
      </w:r>
    </w:p>
    <w:p>
      <w:r>
        <w:rPr>
          <w:i w:val="0"/>
        </w:rPr>
        <w:t>Impartiality comes first. Every engagement begins with a conflict-of-interest check. We keep consulting and auditing roles separate, and our auditors never audit, on behalf of a certification body, an organisation that ICFC has consulted on the same scope within the period set by that body.</w:t>
      </w:r>
    </w:p>
    <w:p>
      <w:pPr>
        <w:pStyle w:val="Heading2"/>
      </w:pPr>
      <w:r>
        <w:t>Frequently asked questions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Does ICFC issue WRAP certificates?</w:t>
      </w:r>
    </w:p>
    <w:p>
      <w:r>
        <w:rPr>
          <w:b/>
        </w:rPr>
        <w:t xml:space="preserve">A. </w:t>
      </w:r>
      <w:r>
        <w:rPr>
          <w:i w:val="0"/>
        </w:rPr>
        <w:t>No. WRAP certification follows an audit by a WRAP-accredited monitoring firm. We help you prepare.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What do WRAP principles cover?</w:t>
      </w:r>
    </w:p>
    <w:p>
      <w:r>
        <w:rPr>
          <w:b/>
        </w:rPr>
        <w:t xml:space="preserve">A. </w:t>
      </w:r>
      <w:r>
        <w:rPr>
          <w:i w:val="0"/>
        </w:rPr>
        <w:t>Areas such as legal compliance, labour conditions, health and safety, environment and customs compliance.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Is WRAP only for apparel?</w:t>
      </w:r>
    </w:p>
    <w:p>
      <w:r>
        <w:rPr>
          <w:b/>
        </w:rPr>
        <w:t xml:space="preserve">A. </w:t>
      </w:r>
      <w:r>
        <w:rPr>
          <w:i w:val="0"/>
        </w:rPr>
        <w:t>It is mainly used for apparel, footwear and sewn products.</w:t>
      </w:r>
    </w:p>
    <w:p>
      <w:pPr>
        <w:spacing w:after="0"/>
      </w:pPr>
      <w:r>
        <w:rPr>
          <w:b/>
        </w:rPr>
        <w:t xml:space="preserve">Q. </w:t>
      </w:r>
      <w:r>
        <w:rPr>
          <w:i w:val="0"/>
        </w:rPr>
        <w:t>Can it support customer audits?</w:t>
      </w:r>
    </w:p>
    <w:p>
      <w:r>
        <w:rPr>
          <w:b/>
        </w:rPr>
        <w:t xml:space="preserve">A. </w:t>
      </w:r>
      <w:r>
        <w:rPr>
          <w:i w:val="0"/>
        </w:rPr>
        <w:t>Yes. Our second-party audits help brands check suppliers against similar principles.</w:t>
      </w:r>
    </w:p>
    <w:p>
      <w:pPr>
        <w:pStyle w:val="Heading2"/>
      </w:pPr>
      <w:r>
        <w:t>Related services</w:t>
      </w:r>
    </w:p>
    <w:p>
      <w:pPr>
        <w:pStyle w:val="ListBullet"/>
        <w:spacing w:after="40"/>
      </w:pPr>
      <w:r>
        <w:t>ISO 26000 Guidance on social responsibility</w:t>
      </w:r>
    </w:p>
    <w:p>
      <w:pPr>
        <w:pStyle w:val="ListBullet"/>
        <w:spacing w:after="40"/>
      </w:pPr>
      <w:r>
        <w:t>ISO 20400 Sustainable procurement (guidance)</w:t>
      </w:r>
    </w:p>
    <w:p>
      <w:pPr>
        <w:pStyle w:val="ListBullet"/>
        <w:spacing w:after="40"/>
      </w:pPr>
      <w:r>
        <w:t>ISO 45001 Occupational Health and Safety Management System (OHSMS)</w:t>
      </w:r>
    </w:p>
    <w:p>
      <w:pPr>
        <w:pStyle w:val="ListBullet"/>
        <w:spacing w:after="40"/>
      </w:pPr>
      <w:r>
        <w:t>ISO 14001 Environmental Management System (EMS)</w:t>
      </w:r>
    </w:p>
    <w:p>
      <w:pPr>
        <w:pBdr>
          <w:bottom w:val="single" w:sz="8" w:space="1" w:color="808080"/>
        </w:pBdr>
        <w:spacing w:after="120"/>
      </w:pPr>
    </w:p>
    <w:p>
      <w:pPr>
        <w:pStyle w:val="Heading2"/>
      </w:pPr>
      <w:r>
        <w:t>Talk to us</w:t>
      </w:r>
    </w:p>
    <w:p>
      <w:r>
        <w:rPr>
          <w:i w:val="0"/>
        </w:rPr>
        <w:t>Phone, WhatsApp, Telegram and WeChat: +65 8601 7001. Email: admin@icfc.com.sg. Web: icfc.com.sg. Learning platform: icfc.digital.</w:t>
      </w:r>
    </w:p>
    <w:p>
      <w:r>
        <w:rPr>
          <w:i w:val="0"/>
          <w:color w:val="595959"/>
          <w:sz w:val="16"/>
        </w:rPr>
        <w:t>This sheet is a summary for general information. Scheme owners, accreditation bodies and funding agencies decide requirements, certification and eligibility; please confirm on their official websites. ICFC does not issue certificates, attestation reports or maturity ratings, and does not give legal advice. ICFC Pte Ltd, UEN 201402439E.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5959"/>
        <w:sz w:val="16"/>
      </w:rPr>
      <w:t xml:space="preserve">Page </w:t>
    </w:r>
    <w:r>
      <w:rPr>
        <w:color w:val="595959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95959"/>
        <w:sz w:val="16"/>
      </w:rPr>
      <w:t>ICFC Pte Ltd / Audit. Consulting. Training.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Arial" w:hAnsi="Arial" w:eastAsia="Arial" w:cs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Arial" w:hAnsi="Arial" w:eastAsia="Arial" w:cs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