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Sustainability reporting assessment (training only)</w:t>
      </w:r>
    </w:p>
    <w:p>
      <w:r>
        <w:rPr>
          <w:color w:val="595959"/>
          <w:sz w:val="20"/>
        </w:rPr>
        <w:t>Service information sheet. Sustainability and Supply Chain. Information checked 11 October 2026.</w:t>
      </w:r>
    </w:p>
    <w:p>
      <w:pPr>
        <w:pBdr>
          <w:bottom w:val="single" w:sz="8" w:space="1" w:color="808080"/>
        </w:pBdr>
        <w:spacing w:after="120"/>
      </w:pPr>
    </w:p>
    <w:p>
      <w:pPr>
        <w:pStyle w:val="Heading2"/>
      </w:pPr>
      <w:r>
        <w:t>In brief</w:t>
      </w:r>
    </w:p>
    <w:p>
      <w:r>
        <w:rPr>
          <w:i w:val="0"/>
        </w:rPr>
        <w:t>ICFC's sustainability reporting assessment training teaches teams how to assess and prepare sustainability and climate-related disclosures, from materiality to data quality. It is offered as training only, in classroom and online formats through the ICFC Digital LMS.</w:t>
      </w:r>
    </w:p>
    <w:p>
      <w:pPr>
        <w:pStyle w:val="Heading2"/>
      </w:pPr>
      <w:r>
        <w:t>What it is</w:t>
      </w:r>
    </w:p>
    <w:p>
      <w:r>
        <w:rPr>
          <w:i w:val="0"/>
        </w:rPr>
        <w:t>Training that builds the skills to assess and prepare sustainability and climate-related disclosures, including materiality, data collection and the reporting standards adopted in Singapore.</w:t>
      </w:r>
    </w:p>
    <w:p>
      <w:pPr>
        <w:pStyle w:val="Heading2"/>
      </w:pPr>
      <w:r>
        <w:t>Who it is for</w:t>
      </w:r>
    </w:p>
    <w:p>
      <w:r>
        <w:rPr>
          <w:i w:val="0"/>
        </w:rPr>
        <w:t>Finance, sustainability, compliance and operations staff preparing or reviewing sustainability reports.</w:t>
      </w:r>
    </w:p>
    <w:p>
      <w:pPr>
        <w:pStyle w:val="Heading2"/>
      </w:pPr>
      <w:r>
        <w:t>Our role</w:t>
      </w:r>
    </w:p>
    <w:p>
      <w:r>
        <w:rPr>
          <w:i w:val="0"/>
        </w:rPr>
        <w:t>Training only. We do not provide assurance or consultancy for sustainability reports.</w:t>
      </w:r>
    </w:p>
    <w:p>
      <w:pPr>
        <w:pStyle w:val="Heading2"/>
      </w:pPr>
      <w:r>
        <w:t>How ICFC helps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7938"/>
      </w:tblGrid>
      <w:tr>
        <w:trPr>
          <w:tblHeader w:val="true"/>
        </w:trPr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sz w:val="17"/>
              </w:rPr>
              <w:t>Service</w:t>
            </w:r>
          </w:p>
        </w:tc>
        <w:tc>
          <w:tcPr>
            <w:tcW w:type="dxa" w:w="7937"/>
            <w:shd w:val="clear" w:color="auto" w:fill="E7E6E6"/>
          </w:tcPr>
          <w:p>
            <w:r/>
            <w:r>
              <w:rPr>
                <w:b/>
                <w:sz w:val="17"/>
              </w:rPr>
              <w:t>What we offer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Audit</w:t>
            </w:r>
          </w:p>
        </w:tc>
        <w:tc>
          <w:tcPr>
            <w:tcW w:type="dxa" w:w="7937"/>
          </w:tcPr>
          <w:p>
            <w:r/>
            <w:r>
              <w:rPr>
                <w:sz w:val="17"/>
              </w:rPr>
              <w:t>Not offered: This service is training only.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Consulting</w:t>
            </w:r>
          </w:p>
        </w:tc>
        <w:tc>
          <w:tcPr>
            <w:tcW w:type="dxa" w:w="7937"/>
          </w:tcPr>
          <w:p>
            <w:r/>
            <w:r>
              <w:rPr>
                <w:sz w:val="17"/>
              </w:rPr>
              <w:t>Not offered: This service is training only.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Training</w:t>
            </w:r>
          </w:p>
        </w:tc>
        <w:tc>
          <w:tcPr>
            <w:tcW w:type="dxa" w:w="7937"/>
          </w:tcPr>
          <w:p>
            <w:r/>
            <w:r>
              <w:rPr>
                <w:sz w:val="17"/>
              </w:rPr>
              <w:t>Classroom: Public and in-house classroom courses on Sustainability Reporting Assessment: awareness, implementation and internal auditor levels. Online LMS: Self-paced and live-online courses on the ICFC Digital LMS, with progress tracking and certificates of completion. Funding: Funding depends on each course's approval status, shown on the course page in the LMS.</w:t>
            </w:r>
          </w:p>
        </w:tc>
      </w:tr>
    </w:tbl>
    <w:p>
      <w:pPr>
        <w:spacing w:after="40"/>
      </w:pPr>
    </w:p>
    <w:p>
      <w:pPr>
        <w:pStyle w:val="Heading2"/>
      </w:pPr>
      <w:r>
        <w:t>Funding</w:t>
      </w:r>
    </w:p>
    <w:p>
      <w:r>
        <w:rPr>
          <w:b/>
        </w:rPr>
        <w:t xml:space="preserve">Training funding varies. </w:t>
      </w:r>
      <w:r>
        <w:rPr>
          <w:i w:val="0"/>
        </w:rPr>
        <w:t>Funding depends on the approval status of each course, shown on the course page in the ICFC Digital LMS.</w:t>
      </w:r>
    </w:p>
    <w:p>
      <w:pPr>
        <w:pStyle w:val="Heading2"/>
      </w:pPr>
      <w:r>
        <w:t>Impartiality</w:t>
      </w:r>
    </w:p>
    <w:p>
      <w:r>
        <w:rPr>
          <w:i w:val="0"/>
        </w:rPr>
        <w:t>Impartiality comes first. Every engagement begins with a conflict-of-interest check. We keep consulting and auditing roles separate, and our auditors never audit, on behalf of a certification body, an organisation that ICFC has consulted on the same scope within the period set by that body.</w:t>
      </w:r>
    </w:p>
    <w:p>
      <w:pPr>
        <w:pStyle w:val="Heading2"/>
      </w:pPr>
      <w:r>
        <w:t>Frequently asked questions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Does ICFC provide assurance on sustainability reports?</w:t>
      </w:r>
    </w:p>
    <w:p>
      <w:r>
        <w:rPr>
          <w:b/>
        </w:rPr>
        <w:t xml:space="preserve">A. </w:t>
      </w:r>
      <w:r>
        <w:rPr>
          <w:i w:val="0"/>
        </w:rPr>
        <w:t>No. This service is training only.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Who should attend?</w:t>
      </w:r>
    </w:p>
    <w:p>
      <w:r>
        <w:rPr>
          <w:b/>
        </w:rPr>
        <w:t xml:space="preserve">A. </w:t>
      </w:r>
      <w:r>
        <w:rPr>
          <w:i w:val="0"/>
        </w:rPr>
        <w:t>Staff who collect data, prepare disclosures or review sustainability reports.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Is the course available online?</w:t>
      </w:r>
    </w:p>
    <w:p>
      <w:r>
        <w:rPr>
          <w:b/>
        </w:rPr>
        <w:t xml:space="preserve">A. </w:t>
      </w:r>
      <w:r>
        <w:rPr>
          <w:i w:val="0"/>
        </w:rPr>
        <w:t>Yes, through the ICFC Digital LMS, as well as classroom sessions.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Is funding available?</w:t>
      </w:r>
    </w:p>
    <w:p>
      <w:r>
        <w:rPr>
          <w:b/>
        </w:rPr>
        <w:t xml:space="preserve">A. </w:t>
      </w:r>
      <w:r>
        <w:rPr>
          <w:i w:val="0"/>
        </w:rPr>
        <w:t>Funding depends on each course's approval status, shown on the course page.</w:t>
      </w:r>
    </w:p>
    <w:p>
      <w:pPr>
        <w:pStyle w:val="Heading2"/>
      </w:pPr>
      <w:r>
        <w:t>Related services</w:t>
      </w:r>
    </w:p>
    <w:p>
      <w:pPr>
        <w:pStyle w:val="ListBullet"/>
        <w:spacing w:after="40"/>
      </w:pPr>
      <w:r>
        <w:t>ISO 14001 Environmental Management System (EMS)</w:t>
      </w:r>
    </w:p>
    <w:p>
      <w:pPr>
        <w:pStyle w:val="ListBullet"/>
        <w:spacing w:after="40"/>
      </w:pPr>
      <w:r>
        <w:t>ISO 50001 Energy Management System (EnMS)</w:t>
      </w:r>
    </w:p>
    <w:p>
      <w:pPr>
        <w:pStyle w:val="ListBullet"/>
        <w:spacing w:after="40"/>
      </w:pPr>
      <w:r>
        <w:t>ISO 26000 Guidance on social responsibility</w:t>
      </w:r>
    </w:p>
    <w:p>
      <w:pPr>
        <w:pStyle w:val="ListBullet"/>
        <w:spacing w:after="40"/>
      </w:pPr>
      <w:r>
        <w:t>ISO 20400 Sustainable procurement (guidance)</w:t>
      </w:r>
    </w:p>
    <w:p>
      <w:pPr>
        <w:pBdr>
          <w:bottom w:val="single" w:sz="8" w:space="1" w:color="808080"/>
        </w:pBdr>
        <w:spacing w:after="120"/>
      </w:pPr>
    </w:p>
    <w:p>
      <w:pPr>
        <w:pStyle w:val="Heading2"/>
      </w:pPr>
      <w:r>
        <w:t>Talk to us</w:t>
      </w:r>
    </w:p>
    <w:p>
      <w:r>
        <w:rPr>
          <w:i w:val="0"/>
        </w:rPr>
        <w:t>Phone, WhatsApp, Telegram and WeChat: +65 8601 7001. Email: admin@icfc.com.sg. Web: icfc.com.sg. Learning platform: icfc.digital.</w:t>
      </w:r>
    </w:p>
    <w:p>
      <w:r>
        <w:rPr>
          <w:i w:val="0"/>
          <w:color w:val="595959"/>
          <w:sz w:val="16"/>
        </w:rPr>
        <w:t>This sheet is a summary for general information. Scheme owners, accreditation bodies and funding agencies decide requirements, certification and eligibility; please confirm on their official websites. ICFC does not issue certificates, attestation reports or maturity ratings, and does not give legal advice. ICFC Pte Ltd, UEN 201402439E.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95959"/>
        <w:sz w:val="16"/>
      </w:rPr>
      <w:t xml:space="preserve">Page </w:t>
    </w:r>
    <w:r>
      <w:rPr>
        <w:color w:val="595959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95959"/>
        <w:sz w:val="16"/>
      </w:rPr>
      <w:t>ICFC Pte Ltd / Audit. Consulting. Training.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 w:cs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Arial" w:hAnsi="Arial" w:eastAsia="Arial" w:cs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Arial" w:hAnsi="Arial" w:eastAsia="Arial" w:cs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