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SS 620 Good Distribution Practice for Medical Devices (GDPMDS)</w:t>
      </w:r>
    </w:p>
    <w:p>
      <w:r>
        <w:rPr>
          <w:color w:val="595959"/>
          <w:sz w:val="20"/>
        </w:rPr>
        <w:t>Service information sheet. Singapore Standards and Schemes. Information checked 11 October 2026.</w:t>
      </w:r>
    </w:p>
    <w:p>
      <w:pPr>
        <w:pBdr>
          <w:bottom w:val="single" w:sz="8" w:space="1" w:color="808080"/>
        </w:pBdr>
        <w:spacing w:after="120"/>
      </w:pPr>
    </w:p>
    <w:p>
      <w:pPr>
        <w:pStyle w:val="Heading2"/>
      </w:pPr>
      <w:r>
        <w:t>In brief</w:t>
      </w:r>
    </w:p>
    <w:p>
      <w:r>
        <w:rPr>
          <w:i w:val="0"/>
        </w:rPr>
        <w:t>SS 620 is the Singapore Standard for Good Distribution Practice for Medical Devices (GDPMDS). It ensures devices keep their quality and safety through storage, handling, delivery and traceability. Medical device dealers commonly need it for their licensing.</w:t>
      </w:r>
    </w:p>
    <w:p>
      <w:pPr>
        <w:pStyle w:val="Heading2"/>
      </w:pPr>
      <w:r>
        <w:t>What it is</w:t>
      </w:r>
    </w:p>
    <w:p>
      <w:r>
        <w:rPr>
          <w:i w:val="0"/>
        </w:rPr>
        <w:t>SS 620 sets requirements for a quality management system for the storage, handling, delivery and traceability of medical devices in the distribution chain.</w:t>
      </w:r>
    </w:p>
    <w:p>
      <w:pPr>
        <w:pStyle w:val="Heading2"/>
      </w:pPr>
      <w:r>
        <w:t>Who it is for</w:t>
      </w:r>
    </w:p>
    <w:p>
      <w:r>
        <w:rPr>
          <w:i w:val="0"/>
        </w:rPr>
        <w:t>Medical device importers, wholesalers, distributors and warehouses in Singapore.</w:t>
      </w:r>
    </w:p>
    <w:p>
      <w:pPr>
        <w:pStyle w:val="Heading2"/>
      </w:pPr>
      <w:r>
        <w:t>How ICFC helps</w:t>
      </w:r>
    </w:p>
    <w:tbl>
      <w:tblPr>
        <w:tblStyle w:val="TableGrid"/>
        <w:tblW w:type="auto" w:w="0"/>
        <w:jc w:val="center"/>
        <w:tblLayout w:type="fixed"/>
        <w:tblLook w:firstColumn="1" w:firstRow="1" w:lastColumn="0" w:lastRow="0" w:noHBand="0" w:noVBand="1" w:val="04A0"/>
      </w:tblPr>
      <w:tblGrid>
        <w:gridCol w:w="1701"/>
        <w:gridCol w:w="7938"/>
      </w:tblGrid>
      <w:tr>
        <w:trPr>
          <w:tblHeader w:val="true"/>
        </w:trPr>
        <w:tc>
          <w:tcPr>
            <w:tcW w:type="dxa" w:w="1701"/>
            <w:shd w:val="clear" w:color="auto" w:fill="E7E6E6"/>
          </w:tcPr>
          <w:p>
            <w:r/>
            <w:r>
              <w:rPr>
                <w:b/>
                <w:sz w:val="17"/>
              </w:rPr>
              <w:t>Service</w:t>
            </w:r>
          </w:p>
        </w:tc>
        <w:tc>
          <w:tcPr>
            <w:tcW w:type="dxa" w:w="7937"/>
            <w:shd w:val="clear" w:color="auto" w:fill="E7E6E6"/>
          </w:tcPr>
          <w:p>
            <w:r/>
            <w:r>
              <w:rPr>
                <w:b/>
                <w:sz w:val="17"/>
              </w:rPr>
              <w:t>What we offer</w:t>
            </w:r>
          </w:p>
        </w:tc>
      </w:tr>
      <w:tr>
        <w:tc>
          <w:tcPr>
            <w:tcW w:type="dxa" w:w="1701"/>
          </w:tcPr>
          <w:p>
            <w:r/>
            <w:r>
              <w:rPr>
                <w:sz w:val="17"/>
              </w:rPr>
              <w:t>Audit</w:t>
            </w:r>
          </w:p>
        </w:tc>
        <w:tc>
          <w:tcPr>
            <w:tcW w:type="dxa" w:w="7937"/>
          </w:tcPr>
          <w:p>
            <w:r/>
            <w:r>
              <w:rPr>
                <w:sz w:val="17"/>
              </w:rPr>
              <w:t>Third-party audits: Third-party certification audits for SS 620 are delivered by our auditors on behalf of accredited certification bodies. The certificate is issued by the certification body, not by ICFC. Second-party audits: Supplier and partner audits against SS 620 on behalf of your organisation, with clear findings you can act on. Internal audits: First-party internal audits of your good distribution practice for medical devices by experienced auditors, combinable with other standards in one integrated audit.</w:t>
            </w:r>
          </w:p>
        </w:tc>
      </w:tr>
      <w:tr>
        <w:tc>
          <w:tcPr>
            <w:tcW w:type="dxa" w:w="1701"/>
          </w:tcPr>
          <w:p>
            <w:r/>
            <w:r>
              <w:rPr>
                <w:sz w:val="17"/>
              </w:rPr>
              <w:t>Consulting</w:t>
            </w:r>
          </w:p>
        </w:tc>
        <w:tc>
          <w:tcPr>
            <w:tcW w:type="dxa" w:w="7937"/>
          </w:tcPr>
          <w:p>
            <w:r/>
            <w:r>
              <w:rPr>
                <w:sz w:val="17"/>
              </w:rPr>
              <w:t>Funding: We explain which scheme, if any, applies and what it requires before you commit. Non-grant: A fixed-scope engagement: gap assessment, documentation, implementation coaching, internal audit and management review, and support through the formal audit or assessment. How we work: Practical, proportionate systems that your staff can run after we leave.</w:t>
            </w:r>
          </w:p>
        </w:tc>
      </w:tr>
      <w:tr>
        <w:tc>
          <w:tcPr>
            <w:tcW w:type="dxa" w:w="1701"/>
          </w:tcPr>
          <w:p>
            <w:r/>
            <w:r>
              <w:rPr>
                <w:sz w:val="17"/>
              </w:rPr>
              <w:t>Training</w:t>
            </w:r>
          </w:p>
        </w:tc>
        <w:tc>
          <w:tcPr>
            <w:tcW w:type="dxa" w:w="7937"/>
          </w:tcPr>
          <w:p>
            <w:r/>
            <w:r>
              <w:rPr>
                <w:sz w:val="17"/>
              </w:rPr>
              <w:t>Classroom: Public and in-house classroom courses on SS 620: awareness, implementation and internal auditor levels. Online LMS: Self-paced and live-online courses on the ICFC Digital LMS, with progress tracking and certificates of completion. Funding: Funding depends on each course's approval status, shown on the course page in the LMS.</w:t>
            </w:r>
          </w:p>
        </w:tc>
      </w:tr>
    </w:tbl>
    <w:p>
      <w:pPr>
        <w:spacing w:after="40"/>
      </w:pPr>
    </w:p>
    <w:p>
      <w:pPr>
        <w:pStyle w:val="Heading2"/>
      </w:pPr>
      <w:r>
        <w:t>Funding</w:t>
      </w:r>
    </w:p>
    <w:p>
      <w:r>
        <w:rPr>
          <w:b/>
        </w:rPr>
        <w:t xml:space="preserve">Not on the EDGE Standards list. </w:t>
      </w:r>
      <w:r>
        <w:rPr>
          <w:i w:val="0"/>
        </w:rPr>
        <w:t>We did not find this standard on the EDGE Standards list when we checked. Ask us about non-grant options or other schemes that may apply.</w:t>
      </w:r>
    </w:p>
    <w:p>
      <w:pPr>
        <w:pStyle w:val="Heading2"/>
      </w:pPr>
      <w:r>
        <w:t>Impartiality</w:t>
      </w:r>
    </w:p>
    <w:p>
      <w:r>
        <w:rPr>
          <w:i w:val="0"/>
        </w:rPr>
        <w:t>Impartiality comes first. Every engagement begins with a conflict-of-interest check. We keep consulting and auditing roles separate, and our auditors never audit, on behalf of a certification body, an organisation that ICFC has consulted on the same scope within the period set by that body.</w:t>
      </w:r>
    </w:p>
    <w:p>
      <w:pPr>
        <w:pStyle w:val="Heading2"/>
      </w:pPr>
      <w:r>
        <w:t>Frequently asked questions</w:t>
      </w:r>
    </w:p>
    <w:p>
      <w:pPr>
        <w:spacing w:after="0"/>
      </w:pPr>
      <w:r>
        <w:rPr>
          <w:b/>
        </w:rPr>
        <w:t xml:space="preserve">Q. </w:t>
      </w:r>
      <w:r>
        <w:rPr>
          <w:i w:val="0"/>
        </w:rPr>
        <w:t>Do we need GDPMDS for an HSA dealer licence?</w:t>
      </w:r>
    </w:p>
    <w:p>
      <w:r>
        <w:rPr>
          <w:b/>
        </w:rPr>
        <w:t xml:space="preserve">A. </w:t>
      </w:r>
      <w:r>
        <w:rPr>
          <w:i w:val="0"/>
        </w:rPr>
        <w:t>Importers and wholesalers of medical devices are generally expected to show conformity to GDPMDS. Check HSA's current licensing requirements for your case.</w:t>
      </w:r>
    </w:p>
    <w:p>
      <w:pPr>
        <w:spacing w:after="0"/>
      </w:pPr>
      <w:r>
        <w:rPr>
          <w:b/>
        </w:rPr>
        <w:t xml:space="preserve">Q. </w:t>
      </w:r>
      <w:r>
        <w:rPr>
          <w:i w:val="0"/>
        </w:rPr>
        <w:t>Is SS 620 on EDGE?</w:t>
      </w:r>
    </w:p>
    <w:p>
      <w:r>
        <w:rPr>
          <w:b/>
        </w:rPr>
        <w:t xml:space="preserve">A. </w:t>
      </w:r>
      <w:r>
        <w:rPr>
          <w:i w:val="0"/>
        </w:rPr>
        <w:t>We did not find SS 620 on the EDGE Standards list when we checked. Ask us about other options.</w:t>
      </w:r>
    </w:p>
    <w:p>
      <w:pPr>
        <w:spacing w:after="0"/>
      </w:pPr>
      <w:r>
        <w:rPr>
          <w:b/>
        </w:rPr>
        <w:t xml:space="preserve">Q. </w:t>
      </w:r>
      <w:r>
        <w:rPr>
          <w:i w:val="0"/>
        </w:rPr>
        <w:t>Does it cover cold storage?</w:t>
      </w:r>
    </w:p>
    <w:p>
      <w:r>
        <w:rPr>
          <w:b/>
        </w:rPr>
        <w:t xml:space="preserve">A. </w:t>
      </w:r>
      <w:r>
        <w:rPr>
          <w:i w:val="0"/>
        </w:rPr>
        <w:t>Yes, where devices need controlled conditions. SS 668 covers food cold chains separately.</w:t>
      </w:r>
    </w:p>
    <w:p>
      <w:pPr>
        <w:spacing w:after="0"/>
      </w:pPr>
      <w:r>
        <w:rPr>
          <w:b/>
        </w:rPr>
        <w:t xml:space="preserve">Q. </w:t>
      </w:r>
      <w:r>
        <w:rPr>
          <w:i w:val="0"/>
        </w:rPr>
        <w:t>Can it integrate with ISO 9001?</w:t>
      </w:r>
    </w:p>
    <w:p>
      <w:r>
        <w:rPr>
          <w:b/>
        </w:rPr>
        <w:t xml:space="preserve">A. </w:t>
      </w:r>
      <w:r>
        <w:rPr>
          <w:i w:val="0"/>
        </w:rPr>
        <w:t>Yes. It builds on quality management principles.</w:t>
      </w:r>
    </w:p>
    <w:p>
      <w:pPr>
        <w:pStyle w:val="Heading2"/>
      </w:pPr>
      <w:r>
        <w:t>Related services</w:t>
      </w:r>
    </w:p>
    <w:p>
      <w:pPr>
        <w:pStyle w:val="ListBullet"/>
        <w:spacing w:after="40"/>
      </w:pPr>
      <w:r>
        <w:t>ISO 9001 Quality Management System (QMS)</w:t>
      </w:r>
    </w:p>
    <w:p>
      <w:pPr>
        <w:pStyle w:val="ListBullet"/>
        <w:spacing w:after="40"/>
      </w:pPr>
      <w:r>
        <w:t>SS 668 Cold chain management of chilled and frozen foods</w:t>
      </w:r>
    </w:p>
    <w:p>
      <w:pPr>
        <w:pStyle w:val="ListBullet"/>
        <w:spacing w:after="40"/>
      </w:pPr>
      <w:r>
        <w:t>ISO 28000 Security and resilience management system</w:t>
      </w:r>
    </w:p>
    <w:p>
      <w:pPr>
        <w:pBdr>
          <w:bottom w:val="single" w:sz="8" w:space="1" w:color="808080"/>
        </w:pBdr>
        <w:spacing w:after="120"/>
      </w:pPr>
    </w:p>
    <w:p>
      <w:pPr>
        <w:pStyle w:val="Heading2"/>
      </w:pPr>
      <w:r>
        <w:t>Talk to us</w:t>
      </w:r>
    </w:p>
    <w:p>
      <w:r>
        <w:rPr>
          <w:i w:val="0"/>
        </w:rPr>
        <w:t>Phone, WhatsApp, Telegram and WeChat: +65 8601 7001. Email: admin@icfc.com.sg. Web: icfc.com.sg. Learning platform: icfc.digital.</w:t>
      </w:r>
    </w:p>
    <w:p>
      <w:r>
        <w:rPr>
          <w:i w:val="0"/>
          <w:color w:val="595959"/>
          <w:sz w:val="16"/>
        </w:rPr>
        <w:t>This sheet is a summary for general information. Scheme owners, accreditation bodies and funding agencies decide requirements, certification and eligibility; please confirm on their official websites. ICFC does not issue certificates, attestation reports or maturity ratings, and does not give legal advice. ICFC Pte Ltd, UEN 201402439E.</w:t>
      </w:r>
    </w:p>
    <w:sectPr w:rsidR="00FC693F" w:rsidRPr="0006063C" w:rsidSect="00034616">
      <w:headerReference w:type="default" r:id="rId9"/>
      <w:footerReference w:type="default" r:id="rId10"/>
      <w:pgSz w:w="11906" w:h="16838"/>
      <w:pgMar w:top="1020" w:right="1134" w:bottom="1020"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color w:val="595959"/>
        <w:sz w:val="16"/>
      </w:rPr>
      <w:t xml:space="preserve">Page </w:t>
    </w:r>
    <w:r>
      <w:rPr>
        <w:color w:val="595959"/>
        <w:sz w:val="16"/>
      </w:rPr>
      <w:fldChar w:fldCharType="begin"/>
      <w:instrText xml:space="preserve">PAGE</w:instrTex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95959"/>
        <w:sz w:val="16"/>
      </w:rPr>
      <w:t>ICFC Pte Ltd / Audit. Consulting. Training.</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Arial" w:hAnsi="Arial" w:eastAsia="Arial" w:cs="Arial"/>
      <w:color w:val="000000"/>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00" w:after="80"/>
      <w:outlineLvl w:val="0"/>
    </w:pPr>
    <w:rPr>
      <w:rFonts w:ascii="Arial" w:hAnsi="Arial" w:eastAsia="Arial" w:cs="Arial"/>
      <w:b/>
      <w:bCs/>
      <w:color w:val="000000"/>
      <w:sz w:val="30"/>
      <w:szCs w:val="28"/>
    </w:rPr>
  </w:style>
  <w:style w:type="paragraph" w:styleId="Heading2">
    <w:name w:val="heading 2"/>
    <w:basedOn w:val="Normal"/>
    <w:next w:val="Normal"/>
    <w:link w:val="Heading2Char"/>
    <w:uiPriority w:val="9"/>
    <w:unhideWhenUsed/>
    <w:qFormat/>
    <w:rsid w:val="00FC693F"/>
    <w:pPr>
      <w:keepNext/>
      <w:keepLines/>
      <w:spacing w:before="160" w:after="80"/>
      <w:outlineLvl w:val="1"/>
    </w:pPr>
    <w:rPr>
      <w:rFonts w:ascii="Arial" w:hAnsi="Arial" w:eastAsia="Arial" w:cs="Arial"/>
      <w:b/>
      <w:bCs/>
      <w:color w:val="000000"/>
      <w:sz w:val="24"/>
      <w:szCs w:val="26"/>
    </w:rPr>
  </w:style>
  <w:style w:type="paragraph" w:styleId="Heading3">
    <w:name w:val="heading 3"/>
    <w:basedOn w:val="Normal"/>
    <w:next w:val="Normal"/>
    <w:link w:val="Heading3Char"/>
    <w:uiPriority w:val="9"/>
    <w:unhideWhenUsed/>
    <w:qFormat/>
    <w:rsid w:val="00FC693F"/>
    <w:pPr>
      <w:keepNext/>
      <w:keepLines/>
      <w:spacing w:before="160" w:after="80"/>
      <w:outlineLvl w:val="2"/>
    </w:pPr>
    <w:rPr>
      <w:rFonts w:ascii="Arial" w:hAnsi="Arial" w:eastAsia="Arial" w:cs="Arial"/>
      <w:b/>
      <w:bCs/>
      <w:color w:val="000000"/>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Arial" w:hAnsi="Arial" w:eastAsia="Arial" w:cs="Arial"/>
      <w:b/>
      <w:color w:val="000000"/>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