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SS 587:2022 Management of end-of-life ICT equipment</w:t>
      </w:r>
    </w:p>
    <w:p>
      <w:r>
        <w:rPr>
          <w:color w:val="595959"/>
          <w:sz w:val="20"/>
        </w:rPr>
        <w:t>Service information sheet. Singapore Standards and Schemes. Information checked 11 October 2026.</w:t>
      </w:r>
    </w:p>
    <w:p>
      <w:pPr>
        <w:pBdr>
          <w:bottom w:val="single" w:sz="8" w:space="1" w:color="808080"/>
        </w:pBdr>
        <w:spacing w:after="120"/>
      </w:pPr>
    </w:p>
    <w:p>
      <w:pPr>
        <w:pStyle w:val="Heading2"/>
      </w:pPr>
      <w:r>
        <w:t>In brief</w:t>
      </w:r>
    </w:p>
    <w:p>
      <w:r>
        <w:rPr>
          <w:i w:val="0"/>
        </w:rPr>
        <w:t>SS 587 is the Singapore Standard for managing end-of-life ICT equipment through a certifiable management system. It helps organisations recycle ICT equipment responsibly. Enterprise Singapore lists it under EDGE Sustainability Standards with up to 70% support for SMEs.</w:t>
      </w:r>
    </w:p>
    <w:p>
      <w:pPr>
        <w:pStyle w:val="Heading2"/>
      </w:pPr>
      <w:r>
        <w:t>What it is</w:t>
      </w:r>
    </w:p>
    <w:p>
      <w:r>
        <w:rPr>
          <w:i w:val="0"/>
        </w:rPr>
        <w:t>SS 587 sets requirements for a certifiable management system that controls the environmental impact of end-of-life ICT equipment through a consistent recycling process.</w:t>
      </w:r>
    </w:p>
    <w:p>
      <w:pPr>
        <w:pStyle w:val="Heading2"/>
      </w:pPr>
      <w:r>
        <w:t>Who it is for</w:t>
      </w:r>
    </w:p>
    <w:p>
      <w:r>
        <w:rPr>
          <w:i w:val="0"/>
        </w:rPr>
        <w:t>Organisations that generate ICT equipment waste, and ICT recyclers or disposal providers.</w:t>
      </w:r>
    </w:p>
    <w:p>
      <w:pPr>
        <w:pStyle w:val="Heading2"/>
      </w:pPr>
      <w:r>
        <w:t>How ICFC helps</w:t>
      </w:r>
    </w:p>
    <w:tbl>
      <w:tblPr>
        <w:tblStyle w:val="TableGrid"/>
        <w:tblW w:type="auto" w:w="0"/>
        <w:jc w:val="center"/>
        <w:tblLayout w:type="fixed"/>
        <w:tblLook w:firstColumn="1" w:firstRow="1" w:lastColumn="0" w:lastRow="0" w:noHBand="0" w:noVBand="1" w:val="04A0"/>
      </w:tblPr>
      <w:tblGrid>
        <w:gridCol w:w="1701"/>
        <w:gridCol w:w="7938"/>
      </w:tblGrid>
      <w:tr>
        <w:trPr>
          <w:tblHeader w:val="true"/>
        </w:trPr>
        <w:tc>
          <w:tcPr>
            <w:tcW w:type="dxa" w:w="1701"/>
            <w:shd w:val="clear" w:color="auto" w:fill="E7E6E6"/>
          </w:tcPr>
          <w:p>
            <w:r/>
            <w:r>
              <w:rPr>
                <w:b/>
                <w:sz w:val="17"/>
              </w:rPr>
              <w:t>Service</w:t>
            </w:r>
          </w:p>
        </w:tc>
        <w:tc>
          <w:tcPr>
            <w:tcW w:type="dxa" w:w="7937"/>
            <w:shd w:val="clear" w:color="auto" w:fill="E7E6E6"/>
          </w:tcPr>
          <w:p>
            <w:r/>
            <w:r>
              <w:rPr>
                <w:b/>
                <w:sz w:val="17"/>
              </w:rPr>
              <w:t>What we offer</w:t>
            </w:r>
          </w:p>
        </w:tc>
      </w:tr>
      <w:tr>
        <w:tc>
          <w:tcPr>
            <w:tcW w:type="dxa" w:w="1701"/>
          </w:tcPr>
          <w:p>
            <w:r/>
            <w:r>
              <w:rPr>
                <w:sz w:val="17"/>
              </w:rPr>
              <w:t>Audit</w:t>
            </w:r>
          </w:p>
        </w:tc>
        <w:tc>
          <w:tcPr>
            <w:tcW w:type="dxa" w:w="7937"/>
          </w:tcPr>
          <w:p>
            <w:r/>
            <w:r>
              <w:rPr>
                <w:sz w:val="17"/>
              </w:rPr>
              <w:t>Third-party audits: Third-party certification audits for SS 587:2022 are delivered by our auditors on behalf of accredited certification bodies. The certificate is issued by the certification body, not by ICFC. Second-party audits: Supplier and partner audits against SS 587:2022 on behalf of your organisation, with clear findings you can act on. Internal audits: First-party internal audits of your end-of-life ict management by experienced auditors, combinable with other standards in one integrated audit.</w:t>
            </w:r>
          </w:p>
        </w:tc>
      </w:tr>
      <w:tr>
        <w:tc>
          <w:tcPr>
            <w:tcW w:type="dxa" w:w="1701"/>
          </w:tcPr>
          <w:p>
            <w:r/>
            <w:r>
              <w:rPr>
                <w:sz w:val="17"/>
              </w:rPr>
              <w:t>Consulting</w:t>
            </w:r>
          </w:p>
        </w:tc>
        <w:tc>
          <w:tcPr>
            <w:tcW w:type="dxa" w:w="7937"/>
          </w:tcPr>
          <w:p>
            <w:r/>
            <w:r>
              <w:rPr>
                <w:sz w:val="17"/>
              </w:rPr>
              <w:t>Grant-supported (EDGE): ICFC's consultancy is led by consultants certified to SS 680:2021, which Enterprise Singapore requires for consultancy support under EDGE Standards activities. The certification is held by our individual consultants, not by ICFC as a company. Our proposal names the certified consultant who will lead your project and includes the SS 680 certification details, quotation and scope that EDGE asks for. You apply on the Business Grants Portal before any work starts or any payment is made. Vendors cannot apply, pay or claim for you, the consultant named in the Letter of Offer must bill the claim invoices, and vendors cannot be changed after approval. Support is subject to Enterprise Singapore's assessment and approval. For our SS 680 certified consultants' roles, certificate numbers, issuing body and expiry dates, or a link to the issuing body's register, please email us through the contact form. Non-grant: A fixed-scope engagement: gap assessment, documentation, implementation coaching, internal audit and management review, and support through the formal audit or assessment. How we work: Practical, proportionate systems that your staff can run after we leave.</w:t>
            </w:r>
          </w:p>
        </w:tc>
      </w:tr>
      <w:tr>
        <w:tc>
          <w:tcPr>
            <w:tcW w:type="dxa" w:w="1701"/>
          </w:tcPr>
          <w:p>
            <w:r/>
            <w:r>
              <w:rPr>
                <w:sz w:val="17"/>
              </w:rPr>
              <w:t>Training</w:t>
            </w:r>
          </w:p>
        </w:tc>
        <w:tc>
          <w:tcPr>
            <w:tcW w:type="dxa" w:w="7937"/>
          </w:tcPr>
          <w:p>
            <w:r/>
            <w:r>
              <w:rPr>
                <w:sz w:val="17"/>
              </w:rPr>
              <w:t>Classroom: Public and in-house classroom courses on SS 587:2022: awareness, implementation and internal auditor levels. Online LMS: Self-paced and live-online courses on the ICFC Digital LMS, with progress tracking and certificates of completion. Funding: Funding depends on each course's approval status, shown on the course page in the LMS.</w:t>
            </w:r>
          </w:p>
        </w:tc>
      </w:tr>
    </w:tbl>
    <w:p>
      <w:pPr>
        <w:spacing w:after="40"/>
      </w:pPr>
    </w:p>
    <w:p>
      <w:pPr>
        <w:pStyle w:val="Heading2"/>
      </w:pPr>
      <w:r>
        <w:t>Funding</w:t>
      </w:r>
    </w:p>
    <w:p>
      <w:r>
        <w:rPr>
          <w:b/>
        </w:rPr>
        <w:t xml:space="preserve">Listed under EDGE Sustainability Standards (confirmed). </w:t>
      </w:r>
      <w:r>
        <w:rPr>
          <w:i w:val="0"/>
        </w:rPr>
        <w:t>Enterprise Singapore lists this standard under EDGE Sustainability Standards. Support is up to 70% for SMEs and up to 50% for non-SMEs, covering professional services and first-year certification by an accredited body. It counts toward the shared S$100,000 annual EDGE cap.</w:t>
      </w:r>
    </w:p>
    <w:p>
      <w:pPr>
        <w:pStyle w:val="Heading2"/>
      </w:pPr>
      <w:r>
        <w:t>Impartiality</w:t>
      </w:r>
    </w:p>
    <w:p>
      <w:r>
        <w:rPr>
          <w:i w:val="0"/>
        </w:rPr>
        <w:t>Impartiality comes first. Every engagement begins with a conflict-of-interest check. We keep consulting and auditing roles separate, and our auditors never audit, on behalf of a certification body, an organisation that ICFC has consulted on the same scope within the period set by that body.</w:t>
      </w:r>
    </w:p>
    <w:p>
      <w:pPr>
        <w:pStyle w:val="Heading2"/>
      </w:pPr>
      <w:r>
        <w:t>Frequently asked questions</w:t>
      </w:r>
    </w:p>
    <w:p>
      <w:pPr>
        <w:spacing w:after="0"/>
      </w:pPr>
      <w:r>
        <w:rPr>
          <w:b/>
        </w:rPr>
        <w:t xml:space="preserve">Q. </w:t>
      </w:r>
      <w:r>
        <w:rPr>
          <w:i w:val="0"/>
        </w:rPr>
        <w:t>Is SS 587 eligible for EDGE?</w:t>
      </w:r>
    </w:p>
    <w:p>
      <w:r>
        <w:rPr>
          <w:b/>
        </w:rPr>
        <w:t xml:space="preserve">A. </w:t>
      </w:r>
      <w:r>
        <w:rPr>
          <w:i w:val="0"/>
        </w:rPr>
        <w:t>Yes. It is listed under EDGE Sustainability Standards with up to 70% support for SMEs and 50% for non-SMEs.</w:t>
      </w:r>
    </w:p>
    <w:p>
      <w:pPr>
        <w:spacing w:after="0"/>
      </w:pPr>
      <w:r>
        <w:rPr>
          <w:b/>
        </w:rPr>
        <w:t xml:space="preserve">Q. </w:t>
      </w:r>
      <w:r>
        <w:rPr>
          <w:i w:val="0"/>
        </w:rPr>
        <w:t>Does it cover data destruction?</w:t>
      </w:r>
    </w:p>
    <w:p>
      <w:r>
        <w:rPr>
          <w:b/>
        </w:rPr>
        <w:t xml:space="preserve">A. </w:t>
      </w:r>
      <w:r>
        <w:rPr>
          <w:i w:val="0"/>
        </w:rPr>
        <w:t>Secure handling of data-bearing devices is part of responsible disposal; we align it with your information security controls.</w:t>
      </w:r>
    </w:p>
    <w:p>
      <w:pPr>
        <w:spacing w:after="0"/>
      </w:pPr>
      <w:r>
        <w:rPr>
          <w:b/>
        </w:rPr>
        <w:t xml:space="preserve">Q. </w:t>
      </w:r>
      <w:r>
        <w:rPr>
          <w:i w:val="0"/>
        </w:rPr>
        <w:t>Who should certify?</w:t>
      </w:r>
    </w:p>
    <w:p>
      <w:r>
        <w:rPr>
          <w:b/>
        </w:rPr>
        <w:t xml:space="preserve">A. </w:t>
      </w:r>
      <w:r>
        <w:rPr>
          <w:i w:val="0"/>
        </w:rPr>
        <w:t>Organisations generating ICT waste and service providers that handle it.</w:t>
      </w:r>
    </w:p>
    <w:p>
      <w:pPr>
        <w:spacing w:after="0"/>
      </w:pPr>
      <w:r>
        <w:rPr>
          <w:b/>
        </w:rPr>
        <w:t xml:space="preserve">Q. </w:t>
      </w:r>
      <w:r>
        <w:rPr>
          <w:i w:val="0"/>
        </w:rPr>
        <w:t>Can it integrate with ISO 14001?</w:t>
      </w:r>
    </w:p>
    <w:p>
      <w:r>
        <w:rPr>
          <w:b/>
        </w:rPr>
        <w:t xml:space="preserve">A. </w:t>
      </w:r>
      <w:r>
        <w:rPr>
          <w:i w:val="0"/>
        </w:rPr>
        <w:t>Yes. It fits naturally inside an environmental management system.</w:t>
      </w:r>
    </w:p>
    <w:p>
      <w:pPr>
        <w:pStyle w:val="Heading2"/>
      </w:pPr>
      <w:r>
        <w:t>Related services</w:t>
      </w:r>
    </w:p>
    <w:p>
      <w:pPr>
        <w:pStyle w:val="ListBullet"/>
        <w:spacing w:after="40"/>
      </w:pPr>
      <w:r>
        <w:t>ISO 14001 Environmental Management System (EMS)</w:t>
      </w:r>
    </w:p>
    <w:p>
      <w:pPr>
        <w:pStyle w:val="ListBullet"/>
        <w:spacing w:after="40"/>
      </w:pPr>
      <w:r>
        <w:t>SS 564 Green data centres</w:t>
      </w:r>
    </w:p>
    <w:p>
      <w:pPr>
        <w:pStyle w:val="ListBullet"/>
        <w:spacing w:after="40"/>
      </w:pPr>
      <w:r>
        <w:t>ISO 55001 Asset Management System</w:t>
      </w:r>
    </w:p>
    <w:p>
      <w:pPr>
        <w:pStyle w:val="ListBullet"/>
        <w:spacing w:after="40"/>
      </w:pPr>
      <w:r>
        <w:t>Sustainability reporting assessment (training only)</w:t>
      </w:r>
    </w:p>
    <w:p>
      <w:pPr>
        <w:pBdr>
          <w:bottom w:val="single" w:sz="8" w:space="1" w:color="808080"/>
        </w:pBdr>
        <w:spacing w:after="120"/>
      </w:pPr>
    </w:p>
    <w:p>
      <w:pPr>
        <w:pStyle w:val="Heading2"/>
      </w:pPr>
      <w:r>
        <w:t>Talk to us</w:t>
      </w:r>
    </w:p>
    <w:p>
      <w:r>
        <w:rPr>
          <w:i w:val="0"/>
        </w:rPr>
        <w:t>Phone, WhatsApp, Telegram and WeChat: +65 8601 7001. Email: admin@icfc.com.sg. Web: icfc.com.sg. Learning platform: icfc.digital.</w:t>
      </w:r>
    </w:p>
    <w:p>
      <w:r>
        <w:rPr>
          <w:i w:val="0"/>
          <w:color w:val="595959"/>
          <w:sz w:val="16"/>
        </w:rPr>
        <w:t>This sheet is a summary for general information. Scheme owners, accreditation bodies and funding agencies decide requirements, certification and eligibility; please confirm on their official websites. ICFC does not issue certificates, attestation reports or maturity ratings, and does not give legal advice. ICFC Pte Ltd, UEN 201402439E.</w:t>
      </w:r>
    </w:p>
    <w:sectPr w:rsidR="00FC693F" w:rsidRPr="0006063C" w:rsidSect="00034616">
      <w:headerReference w:type="default" r:id="rId9"/>
      <w:foot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95959"/>
        <w:sz w:val="16"/>
      </w:rPr>
      <w:t xml:space="preserve">Page </w:t>
    </w:r>
    <w:r>
      <w:rPr>
        <w:color w:val="595959"/>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95959"/>
        <w:sz w:val="16"/>
      </w:rPr>
      <w:t>ICFC Pte Ltd / Audit. Consulting. Training.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eastAsia="Arial" w:cs="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Arial" w:hAnsi="Arial" w:eastAsia="Arial" w:cs="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Arial" w:hAnsi="Arial" w:eastAsia="Arial" w:cs="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Arial" w:hAnsi="Arial" w:eastAsia="Arial" w:cs="Arial"/>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eastAsia="Arial" w:cs="Arial"/>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