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SS 507 Business continuity and disaster recovery (BCDR) service providers</w:t>
      </w:r>
    </w:p>
    <w:p>
      <w:r>
        <w:rPr>
          <w:color w:val="595959"/>
          <w:sz w:val="20"/>
        </w:rPr>
        <w:t>Service information sheet. Singapore Standards and Schemes. Information checked 11 October 2026.</w:t>
      </w:r>
    </w:p>
    <w:p>
      <w:pPr>
        <w:pBdr>
          <w:bottom w:val="single" w:sz="8" w:space="1" w:color="808080"/>
        </w:pBdr>
        <w:spacing w:after="120"/>
      </w:pPr>
    </w:p>
    <w:p>
      <w:pPr>
        <w:pStyle w:val="Heading2"/>
      </w:pPr>
      <w:r>
        <w:t>In brief</w:t>
      </w:r>
    </w:p>
    <w:p>
      <w:r>
        <w:rPr>
          <w:i w:val="0"/>
        </w:rPr>
        <w:t>SS 507 is the Singapore Standard for business continuity and disaster recovery (BCDR) service providers. It assures clients that recovery services, facilities and processes are reliable. ICFC supports providers with implementation, audits and training.</w:t>
      </w:r>
    </w:p>
    <w:p>
      <w:pPr>
        <w:pStyle w:val="Heading2"/>
      </w:pPr>
      <w:r>
        <w:t>What it is</w:t>
      </w:r>
    </w:p>
    <w:p>
      <w:r>
        <w:rPr>
          <w:i w:val="0"/>
        </w:rPr>
        <w:t>SS 507 is the Singapore Standard for providers of business continuity and disaster recovery services, covering their policies, processes, facilities and service levels.</w:t>
      </w:r>
    </w:p>
    <w:p>
      <w:pPr>
        <w:pStyle w:val="Heading2"/>
      </w:pPr>
      <w:r>
        <w:t>Who it is for</w:t>
      </w:r>
    </w:p>
    <w:p>
      <w:r>
        <w:rPr>
          <w:i w:val="0"/>
        </w:rPr>
        <w:t>BCDR service providers, data centres and IT outsourcing firms offering recovery services.</w:t>
      </w:r>
    </w:p>
    <w:p>
      <w:pPr>
        <w:pStyle w:val="Heading2"/>
      </w:pPr>
      <w:r>
        <w:t>How ICFC helps</w:t>
      </w:r>
    </w:p>
    <w:tbl>
      <w:tblPr>
        <w:tblStyle w:val="TableGrid"/>
        <w:tblW w:type="auto" w:w="0"/>
        <w:jc w:val="center"/>
        <w:tblLayout w:type="fixed"/>
        <w:tblLook w:firstColumn="1" w:firstRow="1" w:lastColumn="0" w:lastRow="0" w:noHBand="0" w:noVBand="1" w:val="04A0"/>
      </w:tblPr>
      <w:tblGrid>
        <w:gridCol w:w="1701"/>
        <w:gridCol w:w="7938"/>
      </w:tblGrid>
      <w:tr>
        <w:trPr>
          <w:tblHeader w:val="true"/>
        </w:trPr>
        <w:tc>
          <w:tcPr>
            <w:tcW w:type="dxa" w:w="1701"/>
            <w:shd w:val="clear" w:color="auto" w:fill="E7E6E6"/>
          </w:tcPr>
          <w:p>
            <w:r/>
            <w:r>
              <w:rPr>
                <w:b/>
                <w:sz w:val="17"/>
              </w:rPr>
              <w:t>Service</w:t>
            </w:r>
          </w:p>
        </w:tc>
        <w:tc>
          <w:tcPr>
            <w:tcW w:type="dxa" w:w="7937"/>
            <w:shd w:val="clear" w:color="auto" w:fill="E7E6E6"/>
          </w:tcPr>
          <w:p>
            <w:r/>
            <w:r>
              <w:rPr>
                <w:b/>
                <w:sz w:val="17"/>
              </w:rPr>
              <w:t>What we offer</w:t>
            </w:r>
          </w:p>
        </w:tc>
      </w:tr>
      <w:tr>
        <w:tc>
          <w:tcPr>
            <w:tcW w:type="dxa" w:w="1701"/>
          </w:tcPr>
          <w:p>
            <w:r/>
            <w:r>
              <w:rPr>
                <w:sz w:val="17"/>
              </w:rPr>
              <w:t>Audit</w:t>
            </w:r>
          </w:p>
        </w:tc>
        <w:tc>
          <w:tcPr>
            <w:tcW w:type="dxa" w:w="7937"/>
          </w:tcPr>
          <w:p>
            <w:r/>
            <w:r>
              <w:rPr>
                <w:sz w:val="17"/>
              </w:rPr>
              <w:t>Third-party audits: Third-party certification audits for SS 507 are delivered by our auditors on behalf of accredited certification bodies. The certificate is issued by the certification body, not by ICFC. Second-party audits: Supplier and partner audits against SS 507 on behalf of your organisation, with clear findings you can act on. Internal audits: First-party internal audits of your business continuity and disaster recovery services by experienced auditors, combinable with other standards in one integrated audit.</w:t>
            </w:r>
          </w:p>
        </w:tc>
      </w:tr>
      <w:tr>
        <w:tc>
          <w:tcPr>
            <w:tcW w:type="dxa" w:w="1701"/>
          </w:tcPr>
          <w:p>
            <w:r/>
            <w:r>
              <w:rPr>
                <w:sz w:val="17"/>
              </w:rPr>
              <w:t>Consulting</w:t>
            </w:r>
          </w:p>
        </w:tc>
        <w:tc>
          <w:tcPr>
            <w:tcW w:type="dxa" w:w="7937"/>
          </w:tcPr>
          <w:p>
            <w:r/>
            <w:r>
              <w:rPr>
                <w:sz w:val="17"/>
              </w:rPr>
              <w:t>Funding: We explain which scheme, if any, applies and what it requires before you commit. Non-grant: A fixed-scope engagement: gap assessment, documentation, implementation coaching, internal audit and management review, and support through the formal audit or assessment. How we work: Practical, proportionate systems that your staff can run after we leave.</w:t>
            </w:r>
          </w:p>
        </w:tc>
      </w:tr>
      <w:tr>
        <w:tc>
          <w:tcPr>
            <w:tcW w:type="dxa" w:w="1701"/>
          </w:tcPr>
          <w:p>
            <w:r/>
            <w:r>
              <w:rPr>
                <w:sz w:val="17"/>
              </w:rPr>
              <w:t>Training</w:t>
            </w:r>
          </w:p>
        </w:tc>
        <w:tc>
          <w:tcPr>
            <w:tcW w:type="dxa" w:w="7937"/>
          </w:tcPr>
          <w:p>
            <w:r/>
            <w:r>
              <w:rPr>
                <w:sz w:val="17"/>
              </w:rPr>
              <w:t>Classroom: Public and in-house classroom courses on SS 507: awareness, implementation and internal auditor levels. Online LMS: Self-paced and live-online courses on the ICFC Digital LMS, with progress tracking and certificates of completion. Funding: Funding depends on each course's approval status, shown on the course page in the LMS.</w:t>
            </w:r>
          </w:p>
        </w:tc>
      </w:tr>
    </w:tbl>
    <w:p>
      <w:pPr>
        <w:spacing w:after="40"/>
      </w:pPr>
    </w:p>
    <w:p>
      <w:pPr>
        <w:pStyle w:val="Heading2"/>
      </w:pPr>
      <w:r>
        <w:t>Funding</w:t>
      </w:r>
    </w:p>
    <w:p>
      <w:r>
        <w:rPr>
          <w:b/>
        </w:rPr>
        <w:t xml:space="preserve">Not on the EDGE Standards list. </w:t>
      </w:r>
      <w:r>
        <w:rPr>
          <w:i w:val="0"/>
        </w:rPr>
        <w:t>We did not find this standard on the EDGE Standards list when we checked. Ask us about non-grant options or other schemes that may apply.</w:t>
      </w:r>
    </w:p>
    <w:p>
      <w:pPr>
        <w:pStyle w:val="Heading2"/>
      </w:pPr>
      <w:r>
        <w:t>Impartiality</w:t>
      </w:r>
    </w:p>
    <w:p>
      <w:r>
        <w:rPr>
          <w:i w:val="0"/>
        </w:rPr>
        <w:t>Impartiality comes first. Every engagement begins with a conflict-of-interest check. We keep consulting and auditing roles separate, and our auditors never audit, on behalf of a certification body, an organisation that ICFC has consulted on the same scope within the period set by that body.</w:t>
      </w:r>
    </w:p>
    <w:p>
      <w:pPr>
        <w:pStyle w:val="Heading2"/>
      </w:pPr>
      <w:r>
        <w:t>Frequently asked questions</w:t>
      </w:r>
    </w:p>
    <w:p>
      <w:pPr>
        <w:spacing w:after="0"/>
      </w:pPr>
      <w:r>
        <w:rPr>
          <w:b/>
        </w:rPr>
        <w:t xml:space="preserve">Q. </w:t>
      </w:r>
      <w:r>
        <w:rPr>
          <w:i w:val="0"/>
        </w:rPr>
        <w:t>Who needs SS 507?</w:t>
      </w:r>
    </w:p>
    <w:p>
      <w:r>
        <w:rPr>
          <w:b/>
        </w:rPr>
        <w:t xml:space="preserve">A. </w:t>
      </w:r>
      <w:r>
        <w:rPr>
          <w:i w:val="0"/>
        </w:rPr>
        <w:t>Organisations that provide BCDR services to others, rather than organisations managing their own continuity.</w:t>
      </w:r>
    </w:p>
    <w:p>
      <w:pPr>
        <w:spacing w:after="0"/>
      </w:pPr>
      <w:r>
        <w:rPr>
          <w:b/>
        </w:rPr>
        <w:t xml:space="preserve">Q. </w:t>
      </w:r>
      <w:r>
        <w:rPr>
          <w:i w:val="0"/>
        </w:rPr>
        <w:t>Is SS 507 on EDGE?</w:t>
      </w:r>
    </w:p>
    <w:p>
      <w:r>
        <w:rPr>
          <w:b/>
        </w:rPr>
        <w:t xml:space="preserve">A. </w:t>
      </w:r>
      <w:r>
        <w:rPr>
          <w:i w:val="0"/>
        </w:rPr>
        <w:t>We did not find SS 507 on the EDGE Standards list when we checked. Ask us about other options.</w:t>
      </w:r>
    </w:p>
    <w:p>
      <w:pPr>
        <w:spacing w:after="0"/>
      </w:pPr>
      <w:r>
        <w:rPr>
          <w:b/>
        </w:rPr>
        <w:t xml:space="preserve">Q. </w:t>
      </w:r>
      <w:r>
        <w:rPr>
          <w:i w:val="0"/>
        </w:rPr>
        <w:t>How does it compare with ISO 22301?</w:t>
      </w:r>
    </w:p>
    <w:p>
      <w:r>
        <w:rPr>
          <w:b/>
        </w:rPr>
        <w:t xml:space="preserve">A. </w:t>
      </w:r>
      <w:r>
        <w:rPr>
          <w:i w:val="0"/>
        </w:rPr>
        <w:t>ISO 22301 is for any organisation's own continuity; SS 507 is for BCDR service providers.</w:t>
      </w:r>
    </w:p>
    <w:p>
      <w:pPr>
        <w:spacing w:after="0"/>
      </w:pPr>
      <w:r>
        <w:rPr>
          <w:b/>
        </w:rPr>
        <w:t xml:space="preserve">Q. </w:t>
      </w:r>
      <w:r>
        <w:rPr>
          <w:i w:val="0"/>
        </w:rPr>
        <w:t>Does it overlap with MTCS?</w:t>
      </w:r>
    </w:p>
    <w:p>
      <w:r>
        <w:rPr>
          <w:b/>
        </w:rPr>
        <w:t xml:space="preserve">A. </w:t>
      </w:r>
      <w:r>
        <w:rPr>
          <w:i w:val="0"/>
        </w:rPr>
        <w:t>Partly, for cloud-based recovery services. We map shared controls to avoid duplication.</w:t>
      </w:r>
    </w:p>
    <w:p>
      <w:pPr>
        <w:pStyle w:val="Heading2"/>
      </w:pPr>
      <w:r>
        <w:t>Related services</w:t>
      </w:r>
    </w:p>
    <w:p>
      <w:pPr>
        <w:pStyle w:val="ListBullet"/>
        <w:spacing w:after="40"/>
      </w:pPr>
      <w:r>
        <w:t>ISO 22301 Business Continuity Management System (BCMS)</w:t>
      </w:r>
    </w:p>
    <w:p>
      <w:pPr>
        <w:pStyle w:val="ListBullet"/>
        <w:spacing w:after="40"/>
      </w:pPr>
      <w:r>
        <w:t>SS 584 Multi-Tiered Cloud Computing Security (MTCS)</w:t>
      </w:r>
    </w:p>
    <w:p>
      <w:pPr>
        <w:pStyle w:val="ListBullet"/>
        <w:spacing w:after="40"/>
      </w:pPr>
      <w:r>
        <w:t>SS 564 Green data centres</w:t>
      </w:r>
    </w:p>
    <w:p>
      <w:pPr>
        <w:pStyle w:val="ListBullet"/>
        <w:spacing w:after="40"/>
      </w:pPr>
      <w:r>
        <w:t>CSA Cyber Trust mark (SS 712)</w:t>
      </w:r>
    </w:p>
    <w:p>
      <w:pPr>
        <w:pBdr>
          <w:bottom w:val="single" w:sz="8" w:space="1" w:color="808080"/>
        </w:pBdr>
        <w:spacing w:after="120"/>
      </w:pPr>
    </w:p>
    <w:p>
      <w:pPr>
        <w:pStyle w:val="Heading2"/>
      </w:pPr>
      <w:r>
        <w:t>Talk to us</w:t>
      </w:r>
    </w:p>
    <w:p>
      <w:r>
        <w:rPr>
          <w:i w:val="0"/>
        </w:rPr>
        <w:t>Phone, WhatsApp, Telegram and WeChat: +65 8601 7001. Email: admin@icfc.com.sg. Web: icfc.com.sg. Learning platform: icfc.digital.</w:t>
      </w:r>
    </w:p>
    <w:p>
      <w:r>
        <w:rPr>
          <w:i w:val="0"/>
          <w:color w:val="595959"/>
          <w:sz w:val="16"/>
        </w:rPr>
        <w:t>This sheet is a summary for general information. Scheme owners, accreditation bodies and funding agencies decide requirements, certification and eligibility; please confirm on their official websites. ICFC does not issue certificates, attestation reports or maturity ratings, and does not give legal advice. ICFC Pte Ltd, UEN 201402439E.</w:t>
      </w:r>
    </w:p>
    <w:sectPr w:rsidR="00FC693F" w:rsidRPr="0006063C" w:rsidSect="00034616">
      <w:headerReference w:type="default" r:id="rId9"/>
      <w:footerReference w:type="default" r:id="rId10"/>
      <w:pgSz w:w="11906" w:h="16838"/>
      <w:pgMar w:top="1020" w:right="1134" w:bottom="1020"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color w:val="595959"/>
        <w:sz w:val="16"/>
      </w:rPr>
      <w:t xml:space="preserve">Page </w:t>
    </w:r>
    <w:r>
      <w:rPr>
        <w:color w:val="595959"/>
        <w:sz w:val="16"/>
      </w:rP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95959"/>
        <w:sz w:val="16"/>
      </w:rPr>
      <w:t>ICFC Pte Ltd / Audit. Consulting. Training.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Arial" w:hAnsi="Arial" w:eastAsia="Arial" w:cs="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Arial" w:hAnsi="Arial" w:eastAsia="Arial" w:cs="Arial"/>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Arial" w:hAnsi="Arial" w:eastAsia="Arial" w:cs="Arial"/>
      <w:b/>
      <w:bCs/>
      <w:color w:val="000000"/>
      <w:sz w:val="24"/>
      <w:szCs w:val="26"/>
    </w:rPr>
  </w:style>
  <w:style w:type="paragraph" w:styleId="Heading3">
    <w:name w:val="heading 3"/>
    <w:basedOn w:val="Normal"/>
    <w:next w:val="Normal"/>
    <w:link w:val="Heading3Char"/>
    <w:uiPriority w:val="9"/>
    <w:unhideWhenUsed/>
    <w:qFormat/>
    <w:rsid w:val="00FC693F"/>
    <w:pPr>
      <w:keepNext/>
      <w:keepLines/>
      <w:spacing w:before="160" w:after="80"/>
      <w:outlineLvl w:val="2"/>
    </w:pPr>
    <w:rPr>
      <w:rFonts w:ascii="Arial" w:hAnsi="Arial" w:eastAsia="Arial" w:cs="Arial"/>
      <w:b/>
      <w:bCs/>
      <w:color w:val="000000"/>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Arial" w:hAnsi="Arial" w:eastAsia="Arial" w:cs="Arial"/>
      <w:b/>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