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SOC 1 and SOC 2 attestation readiness (Type I and Type II)</w:t>
      </w:r>
    </w:p>
    <w:p>
      <w:r>
        <w:rPr>
          <w:color w:val="595959"/>
          <w:sz w:val="20"/>
        </w:rPr>
        <w:t>Service information sheet. Cybersecurity, IT and Data Protection. Information checked 12 October 2026.</w:t>
      </w:r>
    </w:p>
    <w:p>
      <w:pPr>
        <w:pBdr>
          <w:bottom w:val="single" w:sz="8" w:space="1" w:color="808080"/>
        </w:pBdr>
        <w:spacing w:after="120"/>
      </w:pPr>
    </w:p>
    <w:p>
      <w:pPr>
        <w:pStyle w:val="Heading2"/>
      </w:pPr>
      <w:r>
        <w:t>In brief</w:t>
      </w:r>
    </w:p>
    <w:p>
      <w:r>
        <w:rPr>
          <w:i w:val="0"/>
        </w:rPr>
        <w:t>SOC 1 and SOC 2 reports give clients independent assurance on a service organisation's controls. Type I covers control design at a point in time; Type II also tests operation over a period. Reports are issued only by licensed CPA firms. ICFC prepares you through readiness assessments, control design, evidence preparation and training, and supports you during the CPA firm's examination.</w:t>
      </w:r>
    </w:p>
    <w:p>
      <w:pPr>
        <w:pStyle w:val="Heading2"/>
      </w:pPr>
      <w:r>
        <w:t>What it is</w:t>
      </w:r>
    </w:p>
    <w:p>
      <w:r>
        <w:rPr>
          <w:i w:val="0"/>
        </w:rPr>
        <w:t>SOC reports are independent attestation reports on the controls of a service organisation, issued by licensed CPA firms under AICPA standards. A SOC 1 report covers controls that matter to clients' financial reporting. A SOC 2 report covers controls for security, availability, processing integrity, confidentiality and privacy, using the AICPA Trust Services Criteria. A Type I report looks at whether controls are suitably designed at a point in time. A Type II report also tests whether they operated effectively over a review period agreed with the CPA firm, commonly three to twelve months.</w:t>
      </w:r>
    </w:p>
    <w:p>
      <w:pPr>
        <w:pStyle w:val="Heading2"/>
      </w:pPr>
      <w:r>
        <w:t>Who it is for</w:t>
      </w:r>
    </w:p>
    <w:p>
      <w:r>
        <w:rPr>
          <w:i w:val="0"/>
        </w:rPr>
        <w:t>Service organisations such as SaaS, cloud, managed IT, payroll, fund administration, payment and outsourcing providers whose clients, or their clients' auditors, ask for a SOC report.</w:t>
      </w:r>
    </w:p>
    <w:p>
      <w:pPr>
        <w:pStyle w:val="Heading2"/>
      </w:pPr>
      <w:r>
        <w:t>SOC 1 or SOC 2?</w:t>
      </w:r>
    </w:p>
    <w:p>
      <w:r>
        <w:rPr>
          <w:i w:val="0"/>
        </w:rPr>
        <w:t>Choose SOC 1 when your service affects your clients' financial statements, such as payroll, billing or fund administration. Choose SOC 2 when clients care about how you protect and run their systems and data. Some organisations need both.</w:t>
      </w:r>
    </w:p>
    <w:p>
      <w:pPr>
        <w:pStyle w:val="Heading2"/>
      </w:pPr>
      <w:r>
        <w:t>Type I or Type II?</w:t>
      </w:r>
    </w:p>
    <w:p>
      <w:r>
        <w:rPr>
          <w:i w:val="0"/>
        </w:rPr>
        <w:t>A Type I report is quicker and suits a first report or a new service. Most enterprise buyers ask for Type II, because it shows controls working over time. Many organisations start with Type I and move to Type II for the next period.</w:t>
      </w:r>
    </w:p>
    <w:p>
      <w:pPr>
        <w:pStyle w:val="Heading2"/>
      </w:pPr>
      <w:r>
        <w:t>Independence</w:t>
      </w:r>
    </w:p>
    <w:p>
      <w:r>
        <w:rPr>
          <w:i w:val="0"/>
        </w:rPr>
        <w:t>AICPA independence rules limit how far a CPA firm can help design the controls it then reports on. Keeping readiness work with ICFC and the examination with an independent CPA firm keeps both roles clean. With your agreement, we share the readiness file with your chosen firm.</w:t>
      </w:r>
    </w:p>
    <w:p>
      <w:pPr>
        <w:pStyle w:val="Heading2"/>
      </w:pPr>
      <w:r>
        <w:t>Singapore financial sector</w:t>
      </w:r>
    </w:p>
    <w:p>
      <w:r>
        <w:rPr>
          <w:i w:val="0"/>
        </w:rPr>
        <w:t>Outsourced service providers to Singapore banks may be asked for an OSPAR report under the Association of Banks in Singapore guidelines, performed by auditors on the ABS list of qualified auditors. We map OSPAR, SOC 2, ISO/IEC 27001 and Cyber Trust controls so evidence is reused.</w:t>
      </w:r>
    </w:p>
    <w:p>
      <w:pPr>
        <w:pStyle w:val="Heading2"/>
      </w:pPr>
      <w:r>
        <w:t>Names and logos</w:t>
      </w:r>
    </w:p>
    <w:p>
      <w:r>
        <w:rPr>
          <w:i w:val="0"/>
        </w:rPr>
        <w:t>ICFC uses the SOC names descriptively and does not display AICPA SOC logos. Your CPA firm can tell you how its report may be shared and described.</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Who issues the report: SOC 1 and SOC 2 reports are issued only by licensed CPA firms under AICPA attestation standards. ICFC is not a CPA firm and does not issue SOC reports or opinions. In Singapore, public accounting firms may also report on service organisation controls under SSAE 3402 or the international ISAE 3402. Readiness assessment: A first-party review of your system description, control objectives or Trust Services Criteria, and evidence, run like a Type I walkthrough, with a prioritised gap list before you engage the CPA firm. Second-party reviews: Reviews of your own vendors' SOC reports: scope, exceptions, subservice organisations and the complementary user entity controls you are expected to operate.</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sessions. Courses on SOC 1 and SOC 2: awareness for control owners, readiness and evidence preparation, and how to read and use vendor SOC reports.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Not on the EDGE Standards list. </w:t>
      </w:r>
      <w:r>
        <w:rPr>
          <w:i w:val="0"/>
        </w:rPr>
        <w:t>We did not find this framework on the EDGE Standards list when we checked, so we quote it as a non-grant engagement. Check Enterprise Singapore before you assume any grant support.</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Is SOC 2 a certification?</w:t>
      </w:r>
    </w:p>
    <w:p>
      <w:r>
        <w:rPr>
          <w:b/>
        </w:rPr>
        <w:t xml:space="preserve">A. </w:t>
      </w:r>
      <w:r>
        <w:rPr>
          <w:i w:val="0"/>
        </w:rPr>
        <w:t>No. A SOC 2 report is an attestation report carrying a CPA firm's opinion, not a certificate. It is usually shared with customers under a non-disclosure agreement.</w:t>
      </w:r>
    </w:p>
    <w:p>
      <w:pPr>
        <w:spacing w:after="0"/>
      </w:pPr>
      <w:r>
        <w:rPr>
          <w:b/>
        </w:rPr>
        <w:t xml:space="preserve">Q. </w:t>
      </w:r>
      <w:r>
        <w:rPr>
          <w:i w:val="0"/>
        </w:rPr>
        <w:t>Can ICFC issue our SOC report?</w:t>
      </w:r>
    </w:p>
    <w:p>
      <w:r>
        <w:rPr>
          <w:b/>
        </w:rPr>
        <w:t xml:space="preserve">A. </w:t>
      </w:r>
      <w:r>
        <w:rPr>
          <w:i w:val="0"/>
        </w:rPr>
        <w:t>No. Only licensed CPA firms issue SOC 1 and SOC 2 reports. ICFC prepares you and supports you during the examination, and keeps that role separate from the CPA firm's.</w:t>
      </w:r>
    </w:p>
    <w:p>
      <w:pPr>
        <w:spacing w:after="0"/>
      </w:pPr>
      <w:r>
        <w:rPr>
          <w:b/>
        </w:rPr>
        <w:t xml:space="preserve">Q. </w:t>
      </w:r>
      <w:r>
        <w:rPr>
          <w:i w:val="0"/>
        </w:rPr>
        <w:t>How long does a Type II take?</w:t>
      </w:r>
    </w:p>
    <w:p>
      <w:r>
        <w:rPr>
          <w:b/>
        </w:rPr>
        <w:t xml:space="preserve">A. </w:t>
      </w:r>
      <w:r>
        <w:rPr>
          <w:i w:val="0"/>
        </w:rPr>
        <w:t>Readiness work comes first, then a review period agreed with the CPA firm, commonly three to twelve months, followed by the firm's reporting. Your timeline is set out in our proposal.</w:t>
      </w:r>
    </w:p>
    <w:p>
      <w:pPr>
        <w:spacing w:after="0"/>
      </w:pPr>
      <w:r>
        <w:rPr>
          <w:b/>
        </w:rPr>
        <w:t xml:space="preserve">Q. </w:t>
      </w:r>
      <w:r>
        <w:rPr>
          <w:i w:val="0"/>
        </w:rPr>
        <w:t>Can we reuse ISO/IEC 27001 or Cyber Trust work?</w:t>
      </w:r>
    </w:p>
    <w:p>
      <w:r>
        <w:rPr>
          <w:b/>
        </w:rPr>
        <w:t xml:space="preserve">A. </w:t>
      </w:r>
      <w:r>
        <w:rPr>
          <w:i w:val="0"/>
        </w:rPr>
        <w:t>Yes. Many SOC 2 security criteria overlap with ISO/IEC 27001 and the Cyber Trust mark, so we map controls once and reuse the evidence.</w:t>
      </w:r>
    </w:p>
    <w:p>
      <w:pPr>
        <w:spacing w:after="0"/>
      </w:pPr>
      <w:r>
        <w:rPr>
          <w:b/>
        </w:rPr>
        <w:t xml:space="preserve">Q. </w:t>
      </w:r>
      <w:r>
        <w:rPr>
          <w:i w:val="0"/>
        </w:rPr>
        <w:t>Is there a Singapore grant for SOC work?</w:t>
      </w:r>
    </w:p>
    <w:p>
      <w:r>
        <w:rPr>
          <w:b/>
        </w:rPr>
        <w:t xml:space="preserve">A. </w:t>
      </w:r>
      <w:r>
        <w:rPr>
          <w:i w:val="0"/>
        </w:rPr>
        <w:t>We did not find SOC reporting on the EDGE Standards list when we checked, so we quote SOC readiness as a non-grant engagement.</w:t>
      </w:r>
    </w:p>
    <w:p>
      <w:pPr>
        <w:pStyle w:val="Heading2"/>
      </w:pPr>
      <w:r>
        <w:t>Related services</w:t>
      </w:r>
    </w:p>
    <w:p>
      <w:pPr>
        <w:pStyle w:val="ListBullet"/>
        <w:spacing w:after="40"/>
      </w:pPr>
      <w:r>
        <w:t>ISO/IEC 27001 Information Security Management System (ISMS)</w:t>
      </w:r>
    </w:p>
    <w:p>
      <w:pPr>
        <w:pStyle w:val="ListBullet"/>
        <w:spacing w:after="40"/>
      </w:pPr>
      <w:r>
        <w:t>CSA Cyber Trust mark (SS 712)</w:t>
      </w:r>
    </w:p>
    <w:p>
      <w:pPr>
        <w:pStyle w:val="ListBullet"/>
        <w:spacing w:after="40"/>
      </w:pPr>
      <w:r>
        <w:t>ISO/IEC 27017 Information security controls for cloud services</w:t>
      </w:r>
    </w:p>
    <w:p>
      <w:pPr>
        <w:pStyle w:val="ListBullet"/>
        <w:spacing w:after="40"/>
      </w:pPr>
      <w:r>
        <w:t>SS 584 Multi-Tiered Cloud Computing Security (MTCS)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