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26000 Guidance on social responsibility</w:t>
      </w:r>
    </w:p>
    <w:p>
      <w:r>
        <w:rPr>
          <w:color w:val="595959"/>
          <w:sz w:val="20"/>
        </w:rPr>
        <w:t>Service information sheet. Sustainability and Supply Chain.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ISO 26000 is the international guidance on social responsibility. It covers seven core subjects from governance and human rights to community involvement. It is not certifiable; ICFC uses it to assess your current practices and build a practical social responsibility roadmap.</w:t>
      </w:r>
    </w:p>
    <w:p>
      <w:pPr>
        <w:pStyle w:val="Heading2"/>
      </w:pPr>
      <w:r>
        <w:t>What it is</w:t>
      </w:r>
    </w:p>
    <w:p>
      <w:r>
        <w:rPr>
          <w:i w:val="0"/>
        </w:rPr>
        <w:t>ISO 26000 gives guidance on social responsibility across seven core subjects, including governance, human rights, labour practices, environment, fair operating practices, consumer issues and community involvement.</w:t>
      </w:r>
    </w:p>
    <w:p>
      <w:pPr>
        <w:pStyle w:val="Heading2"/>
      </w:pPr>
      <w:r>
        <w:t>Who it is for</w:t>
      </w:r>
    </w:p>
    <w:p>
      <w:r>
        <w:rPr>
          <w:i w:val="0"/>
        </w:rPr>
        <w:t>Organisations shaping their sustainability or ESG approach and stakeholder engagement.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No certification: ISO 26000 is a guidance document and is not intended for certification. Alignment assessment: First-party and second-party assessments that score how well your practices align with the guidance, with a practical gap report. Supplier checks: Second-party reviews of suppliers or partners against the guidance where your customers expect it.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Funding: We explain which scheme, if any, applies and what it requires before you commit. Non-grant: A fixed-scope engagement: gap assessment, documentation, implementation coaching, internal audit and management review, and support through the formal audit or assessment. How we work: Practical, proportionate systems that your staff can run after we leave.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ISO 26000: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Not on the EDGE Standards list. </w:t>
      </w:r>
      <w:r>
        <w:rPr>
          <w:i w:val="0"/>
        </w:rPr>
        <w:t>We did not find this standard on the EDGE Standards list when we checked. Ask us about non-grant options or other schemes that may apply.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ISO 26000 certifiable?</w:t>
      </w:r>
    </w:p>
    <w:p>
      <w:r>
        <w:rPr>
          <w:b/>
        </w:rPr>
        <w:t xml:space="preserve">A. </w:t>
      </w:r>
      <w:r>
        <w:rPr>
          <w:i w:val="0"/>
        </w:rPr>
        <w:t>No. It is explicitly a guidance standard. Be cautious of anyone offering certification to it.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How does it relate to sustainability reporting?</w:t>
      </w:r>
    </w:p>
    <w:p>
      <w:r>
        <w:rPr>
          <w:b/>
        </w:rPr>
        <w:t xml:space="preserve">A. </w:t>
      </w:r>
      <w:r>
        <w:rPr>
          <w:i w:val="0"/>
        </w:rPr>
        <w:t>It helps decide what matters before you report; reporting frameworks then guide disclosure.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Which core subjects matter for us?</w:t>
      </w:r>
    </w:p>
    <w:p>
      <w:r>
        <w:rPr>
          <w:b/>
        </w:rPr>
        <w:t xml:space="preserve">A. </w:t>
      </w:r>
      <w:r>
        <w:rPr>
          <w:i w:val="0"/>
        </w:rPr>
        <w:t>That comes out of a materiality and stakeholder review, which we facilitate.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Can it be combined with ISO 37001?</w:t>
      </w:r>
    </w:p>
    <w:p>
      <w:r>
        <w:rPr>
          <w:b/>
        </w:rPr>
        <w:t xml:space="preserve">A. </w:t>
      </w:r>
      <w:r>
        <w:rPr>
          <w:i w:val="0"/>
        </w:rPr>
        <w:t>Yes. Fair operating practices include anti-corruption.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ISO 20400 Sustainable procurement (guidance)</w:t>
      </w:r>
    </w:p>
    <w:p>
      <w:pPr>
        <w:pStyle w:val="ListBullet"/>
        <w:spacing w:after="40"/>
      </w:pPr>
      <w:r>
        <w:t>Sustainability reporting assessment (training only)</w:t>
      </w:r>
    </w:p>
    <w:p>
      <w:pPr>
        <w:pStyle w:val="ListBullet"/>
        <w:spacing w:after="40"/>
      </w:pPr>
      <w:r>
        <w:t>Worldwide Responsible Accredited Production (WRAP)</w:t>
      </w:r>
    </w:p>
    <w:p>
      <w:pPr>
        <w:pStyle w:val="ListBullet"/>
        <w:spacing w:after="40"/>
      </w:pPr>
      <w:r>
        <w:t>ISO 37001 Anti-Bribery Management System (ABMS)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