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 20400 Sustainable procurement (guidance)</w:t>
      </w:r>
    </w:p>
    <w:p>
      <w:r>
        <w:rPr>
          <w:color w:val="595959"/>
          <w:sz w:val="20"/>
        </w:rPr>
        <w:t>Service information sheet. Sustainability and Supply Chain. Information checked 11 October 2026.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In brief</w:t>
      </w:r>
    </w:p>
    <w:p>
      <w:r>
        <w:rPr>
          <w:i w:val="0"/>
        </w:rPr>
        <w:t>ISO 20400 is the international guidance standard for sustainable procurement. It helps organisations build environmental, social and economic considerations into how they buy. It is not certifiable; ICFC assesses your alignment and helps you put it into practice.</w:t>
      </w:r>
    </w:p>
    <w:p>
      <w:pPr>
        <w:pStyle w:val="Heading2"/>
      </w:pPr>
      <w:r>
        <w:t>What it is</w:t>
      </w:r>
    </w:p>
    <w:p>
      <w:r>
        <w:rPr>
          <w:i w:val="0"/>
        </w:rPr>
        <w:t>ISO 20400 gives guidance on integrating sustainability into procurement policy, strategy and processes.</w:t>
      </w:r>
    </w:p>
    <w:p>
      <w:pPr>
        <w:pStyle w:val="Heading2"/>
      </w:pPr>
      <w:r>
        <w:t>Who it is for</w:t>
      </w:r>
    </w:p>
    <w:p>
      <w:r>
        <w:rPr>
          <w:i w:val="0"/>
        </w:rPr>
        <w:t>Procurement teams, public sector suppliers and organisations managing supplier sustainability risk.</w:t>
      </w:r>
    </w:p>
    <w:p>
      <w:pPr>
        <w:pStyle w:val="Heading2"/>
      </w:pPr>
      <w:r>
        <w:t>How ICFC helps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938"/>
      </w:tblGrid>
      <w:tr>
        <w:trPr>
          <w:tblHeader w:val="true"/>
        </w:trPr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7"/>
              </w:rPr>
              <w:t>Service</w:t>
            </w:r>
          </w:p>
        </w:tc>
        <w:tc>
          <w:tcPr>
            <w:tcW w:type="dxa" w:w="7937"/>
            <w:shd w:val="clear" w:color="auto" w:fill="E7E6E6"/>
          </w:tcPr>
          <w:p>
            <w:r/>
            <w:r>
              <w:rPr>
                <w:b/>
                <w:sz w:val="17"/>
              </w:rPr>
              <w:t>What we offer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Audit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No certification: ISO 20400 is a guidance document and is not intended for certification. Alignment assessment: First-party and second-party assessments that score how well your practices align with the guidance, with a practical gap report. Supplier checks: Second-party reviews of suppliers or partners against the guidance where your customers expect it.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Consulting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Funding: We explain which scheme, if any, applies and what it requires before you commit. Non-grant: A fixed-scope engagement: gap assessment, documentation, implementation coaching, internal audit and management review, and support through the formal audit or assessment. How we work: Practical, proportionate systems that your staff can run after we leave.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Training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Classroom: Public and in-house classroom courses on ISO 20400: awareness, implementation and internal auditor levels. Online LMS: Self-paced and live-online courses on the ICFC Digital LMS, with progress tracking and certificates of completion. Funding: Funding depends on each course's approval status, shown on the course page in the LMS.</w:t>
            </w:r>
          </w:p>
        </w:tc>
      </w:tr>
    </w:tbl>
    <w:p>
      <w:pPr>
        <w:spacing w:after="40"/>
      </w:pPr>
    </w:p>
    <w:p>
      <w:pPr>
        <w:pStyle w:val="Heading2"/>
      </w:pPr>
      <w:r>
        <w:t>Funding</w:t>
      </w:r>
    </w:p>
    <w:p>
      <w:r>
        <w:rPr>
          <w:b/>
        </w:rPr>
        <w:t xml:space="preserve">Not on the EDGE Standards list. </w:t>
      </w:r>
      <w:r>
        <w:rPr>
          <w:i w:val="0"/>
        </w:rPr>
        <w:t>We did not find this standard on the EDGE Standards list when we checked. Ask us about non-grant options or other schemes that may apply.</w:t>
      </w:r>
    </w:p>
    <w:p>
      <w:pPr>
        <w:pStyle w:val="Heading2"/>
      </w:pPr>
      <w:r>
        <w:t>Impartiality</w:t>
      </w:r>
    </w:p>
    <w:p>
      <w:r>
        <w:rPr>
          <w:i w:val="0"/>
        </w:rPr>
        <w:t>Impartiality comes first. Every engagement begins with a conflict-of-interest check. We keep consulting and auditing roles separate, and our auditors never audit, on behalf of a certification body, an organisation that ICFC has consulted on the same scope within the period set by that body.</w:t>
      </w:r>
    </w:p>
    <w:p>
      <w:pPr>
        <w:pStyle w:val="Heading2"/>
      </w:pPr>
      <w:r>
        <w:t>Frequently asked questions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Can we be certified to ISO 20400?</w:t>
      </w:r>
    </w:p>
    <w:p>
      <w:r>
        <w:rPr>
          <w:b/>
        </w:rPr>
        <w:t xml:space="preserve">A. </w:t>
      </w:r>
      <w:r>
        <w:rPr>
          <w:i w:val="0"/>
        </w:rPr>
        <w:t>No. It is guidance. We provide alignment assessments and implementation support.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Where should we start?</w:t>
      </w:r>
    </w:p>
    <w:p>
      <w:r>
        <w:rPr>
          <w:b/>
        </w:rPr>
        <w:t xml:space="preserve">A. </w:t>
      </w:r>
      <w:r>
        <w:rPr>
          <w:i w:val="0"/>
        </w:rPr>
        <w:t>With a spend analysis to find the categories with the highest sustainability risk and opportunity.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Does it link to supplier audits?</w:t>
      </w:r>
    </w:p>
    <w:p>
      <w:r>
        <w:rPr>
          <w:b/>
        </w:rPr>
        <w:t xml:space="preserve">A. </w:t>
      </w:r>
      <w:r>
        <w:rPr>
          <w:i w:val="0"/>
        </w:rPr>
        <w:t>Yes. Our second-party supplier audits put the guidance into action.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Does it help with sustainability reporting?</w:t>
      </w:r>
    </w:p>
    <w:p>
      <w:r>
        <w:rPr>
          <w:b/>
        </w:rPr>
        <w:t xml:space="preserve">A. </w:t>
      </w:r>
      <w:r>
        <w:rPr>
          <w:i w:val="0"/>
        </w:rPr>
        <w:t>Yes. Supply chain data feeds into reporting on value chain impacts.</w:t>
      </w:r>
    </w:p>
    <w:p>
      <w:pPr>
        <w:pStyle w:val="Heading2"/>
      </w:pPr>
      <w:r>
        <w:t>Related services</w:t>
      </w:r>
    </w:p>
    <w:p>
      <w:pPr>
        <w:pStyle w:val="ListBullet"/>
        <w:spacing w:after="40"/>
      </w:pPr>
      <w:r>
        <w:t>ISO 26000 Guidance on social responsibility</w:t>
      </w:r>
    </w:p>
    <w:p>
      <w:pPr>
        <w:pStyle w:val="ListBullet"/>
        <w:spacing w:after="40"/>
      </w:pPr>
      <w:r>
        <w:t>ISO 20121 Event sustainability management system</w:t>
      </w:r>
    </w:p>
    <w:p>
      <w:pPr>
        <w:pStyle w:val="ListBullet"/>
        <w:spacing w:after="40"/>
      </w:pPr>
      <w:r>
        <w:t>Worldwide Responsible Accredited Production (WRAP)</w:t>
      </w:r>
    </w:p>
    <w:p>
      <w:pPr>
        <w:pStyle w:val="ListBullet"/>
        <w:spacing w:after="40"/>
      </w:pPr>
      <w:r>
        <w:t>Sustainability reporting assessment (training only)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Talk to us</w:t>
      </w:r>
    </w:p>
    <w:p>
      <w:r>
        <w:rPr>
          <w:i w:val="0"/>
        </w:rPr>
        <w:t>Phone, WhatsApp, Telegram and WeChat: +65 8601 7001. Email: admin@icfc.com.sg. Web: icfc.com.sg. Learning platform: icfc.digital.</w:t>
      </w:r>
    </w:p>
    <w:p>
      <w:r>
        <w:rPr>
          <w:i w:val="0"/>
          <w:color w:val="595959"/>
          <w:sz w:val="16"/>
        </w:rPr>
        <w:t>This sheet is a summary for general information. Scheme owners, accreditation bodies and funding agencies decide requirements, certification and eligibility; please confirm on their official websites. ICFC does not issue certificates, attestation reports or maturity ratings, and does not give legal advice. ICFC Pte Ltd, UEN 201402439E.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5959"/>
        <w:sz w:val="16"/>
      </w:rPr>
      <w:t xml:space="preserve">Page </w:t>
    </w:r>
    <w:r>
      <w:rPr>
        <w:color w:val="595959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6"/>
      </w:rPr>
      <w:t>ICFC Pte Ltd / Audit. Consulting. Training.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