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HIPAA compliance (consulting and training)</w:t>
      </w:r>
    </w:p>
    <w:p>
      <w:r>
        <w:rPr>
          <w:color w:val="595959"/>
          <w:sz w:val="20"/>
        </w:rPr>
        <w:t>Service information sheet. Cybersecurity, IT and Data Protection. Information checked 12 October 2026.</w:t>
      </w:r>
    </w:p>
    <w:p>
      <w:pPr>
        <w:pBdr>
          <w:bottom w:val="single" w:sz="8" w:space="1" w:color="808080"/>
        </w:pBdr>
        <w:spacing w:after="120"/>
      </w:pPr>
    </w:p>
    <w:p>
      <w:pPr>
        <w:pStyle w:val="Heading2"/>
      </w:pPr>
      <w:r>
        <w:t>In brief</w:t>
      </w:r>
    </w:p>
    <w:p>
      <w:r>
        <w:rPr>
          <w:i w:val="0"/>
        </w:rPr>
        <w:t>HIPAA protects health information in the United States and reaches overseas vendors that handle it as business associates. There is no official HIPAA certification, and HHS does not endorse private certificates. ICFC helps you confirm your obligations, run a Security Rule risk analysis, build policies and safeguards, and train your workforce.</w:t>
      </w:r>
    </w:p>
    <w:p>
      <w:pPr>
        <w:pStyle w:val="Heading2"/>
      </w:pPr>
      <w:r>
        <w:t>What it is</w:t>
      </w:r>
    </w:p>
    <w:p>
      <w:r>
        <w:rPr>
          <w:i w:val="0"/>
        </w:rPr>
        <w:t>HIPAA is the US law that protects health information. Its Privacy, Security and Breach Notification Rules apply to US covered entities, such as health plans and most healthcare providers, and to their business associates, including overseas vendors that create, receive, keep or send protected health information for them. The Security Rule asks for a documented risk analysis and administrative, physical and technical safeguards for electronic health information.</w:t>
      </w:r>
    </w:p>
    <w:p>
      <w:pPr>
        <w:pStyle w:val="Heading2"/>
      </w:pPr>
      <w:r>
        <w:t>Who it is for</w:t>
      </w:r>
    </w:p>
    <w:p>
      <w:r>
        <w:rPr>
          <w:i w:val="0"/>
        </w:rPr>
        <w:t>Singapore and regional organisations that serve US healthcare clients, such as health-tech and SaaS firms, medical billing and coding, transcription, contact centre, clinical research and IT service providers that sign business associate agreements.</w:t>
      </w:r>
    </w:p>
    <w:p>
      <w:pPr>
        <w:pStyle w:val="Heading2"/>
      </w:pPr>
      <w:r>
        <w:t>Key obligations</w:t>
      </w:r>
    </w:p>
    <w:p>
      <w:r>
        <w:rPr>
          <w:i w:val="0"/>
        </w:rPr>
        <w:t>A documented, organisation-wide risk analysis and risk management plan; policies and workforce training; access, audit and integrity controls for electronic health information; business associate agreements; and breach notification without unreasonable delay and no later than 60 days after discovery.</w:t>
      </w:r>
    </w:p>
    <w:p>
      <w:pPr>
        <w:pStyle w:val="Heading2"/>
      </w:pPr>
      <w:r>
        <w:t>Rule changes to watch</w:t>
      </w:r>
    </w:p>
    <w:p>
      <w:r>
        <w:rPr>
          <w:i w:val="0"/>
        </w:rPr>
        <w:t>HHS proposed major Security Rule updates in January 2025. When we checked on 12 October 2026 they were not final, and HHS's regulatory agenda pointed to July 2027. We plan to the current rule and flag the proposed changes.</w:t>
      </w:r>
    </w:p>
    <w:p>
      <w:pPr>
        <w:pStyle w:val="Heading2"/>
      </w:pPr>
      <w:r>
        <w:t>Singapore context</w:t>
      </w:r>
    </w:p>
    <w:p>
      <w:r>
        <w:rPr>
          <w:i w:val="0"/>
        </w:rPr>
        <w:t>Health data about people in Singapore is governed by the PDPA and Singapore's own healthcare rules, not HIPAA. Where you handle both, we map HIPAA safeguards to the PDPA, ISO/IEC 27001 and the CSA Cyber Essentials and Cyber Trust marks, so one set of controls serves all.</w:t>
      </w:r>
    </w:p>
    <w:p>
      <w:pPr>
        <w:pStyle w:val="Heading2"/>
      </w:pPr>
      <w:r>
        <w:t>Our role</w:t>
      </w:r>
    </w:p>
    <w:p>
      <w:r>
        <w:rPr>
          <w:i w:val="0"/>
        </w:rPr>
        <w:t>Consulting and training only. ICFC is not a law firm and does not give legal advice; for contract or liability questions, consult a qualified US lawyer.</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No official certification: HHS states that it does not certify people or products as HIPAA compliant and does not recognise private HIPAA certificates. ICFC does not issue HIPAA certificates. Compliance evaluations: First-party evaluations of your safeguards against the Privacy, Security and Breach Notification Rules, including the periodic technical and non-technical evaluation the Security Rule asks for, with a prioritised action list. Business associate reviews: Second-party reviews of subcontractors that handle protected health information for you, checked against your business associate agreements.</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sessions. Courses on HIPAA: workforce awareness of the Privacy, Security and Breach Notification Rules, Security Rule risk analysis, and business associate obligations.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framework on the EDGE Standards list when we checked, so we quote it as a non-grant engagement. Check Enterprise Singapore before you assume any grant support.</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Can we get HIPAA certified?</w:t>
      </w:r>
    </w:p>
    <w:p>
      <w:r>
        <w:rPr>
          <w:b/>
        </w:rPr>
        <w:t xml:space="preserve">A. </w:t>
      </w:r>
      <w:r>
        <w:rPr>
          <w:i w:val="0"/>
        </w:rPr>
        <w:t>There is no official HIPAA certification, and HHS does not endorse private certificates. What counts is meeting the rules and keeping evidence, such as your risk analysis, policies and training records.</w:t>
      </w:r>
    </w:p>
    <w:p>
      <w:pPr>
        <w:spacing w:after="0"/>
      </w:pPr>
      <w:r>
        <w:rPr>
          <w:b/>
        </w:rPr>
        <w:t xml:space="preserve">Q. </w:t>
      </w:r>
      <w:r>
        <w:rPr>
          <w:i w:val="0"/>
        </w:rPr>
        <w:t>Does HIPAA apply to a Singapore company?</w:t>
      </w:r>
    </w:p>
    <w:p>
      <w:r>
        <w:rPr>
          <w:b/>
        </w:rPr>
        <w:t xml:space="preserve">A. </w:t>
      </w:r>
      <w:r>
        <w:rPr>
          <w:i w:val="0"/>
        </w:rPr>
        <w:t>It can, if you handle protected health information for a US covered entity or for another business associate. Your contract, usually a business associate agreement, will set this out.</w:t>
      </w:r>
    </w:p>
    <w:p>
      <w:pPr>
        <w:spacing w:after="0"/>
      </w:pPr>
      <w:r>
        <w:rPr>
          <w:b/>
        </w:rPr>
        <w:t xml:space="preserve">Q. </w:t>
      </w:r>
      <w:r>
        <w:rPr>
          <w:i w:val="0"/>
        </w:rPr>
        <w:t>What training does HIPAA require?</w:t>
      </w:r>
    </w:p>
    <w:p>
      <w:r>
        <w:rPr>
          <w:b/>
        </w:rPr>
        <w:t xml:space="preserve">A. </w:t>
      </w:r>
      <w:r>
        <w:rPr>
          <w:i w:val="0"/>
        </w:rPr>
        <w:t>The rules require workforce training on your policies and security awareness, but HHS does not require any particular course. Our courses help you deliver and record that training.</w:t>
      </w:r>
    </w:p>
    <w:p>
      <w:pPr>
        <w:spacing w:after="0"/>
      </w:pPr>
      <w:r>
        <w:rPr>
          <w:b/>
        </w:rPr>
        <w:t xml:space="preserve">Q. </w:t>
      </w:r>
      <w:r>
        <w:rPr>
          <w:i w:val="0"/>
        </w:rPr>
        <w:t>Is the Security Rule changing?</w:t>
      </w:r>
    </w:p>
    <w:p>
      <w:r>
        <w:rPr>
          <w:b/>
        </w:rPr>
        <w:t xml:space="preserve">A. </w:t>
      </w:r>
      <w:r>
        <w:rPr>
          <w:i w:val="0"/>
        </w:rPr>
        <w:t>HHS proposed updates in January 2025. They were not final when we checked on 12 October 2026. We help you prepare without over-building for proposals that may still change.</w:t>
      </w:r>
    </w:p>
    <w:p>
      <w:pPr>
        <w:pStyle w:val="Heading2"/>
      </w:pPr>
      <w:r>
        <w:t>Related services</w:t>
      </w:r>
    </w:p>
    <w:p>
      <w:pPr>
        <w:pStyle w:val="ListBullet"/>
        <w:spacing w:after="40"/>
      </w:pPr>
      <w:r>
        <w:t>ISO/IEC 27001 Information Security Management System (ISMS)</w:t>
      </w:r>
    </w:p>
    <w:p>
      <w:pPr>
        <w:pStyle w:val="ListBullet"/>
        <w:spacing w:after="40"/>
      </w:pPr>
      <w:r>
        <w:t>ISO/IEC 27701 Privacy Information Management System (PIMS)</w:t>
      </w:r>
    </w:p>
    <w:p>
      <w:pPr>
        <w:pStyle w:val="ListBullet"/>
        <w:spacing w:after="40"/>
      </w:pPr>
      <w:r>
        <w:t>CSA Cyber Essentials mark</w:t>
      </w:r>
    </w:p>
    <w:p>
      <w:pPr>
        <w:pStyle w:val="ListBullet"/>
        <w:spacing w:after="40"/>
      </w:pPr>
      <w:r>
        <w:t>SOC 1 and SOC 2 attestation readiness (Type I and Type II)</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