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Global and APEC Privacy Recognition for Processors (PRP)</w:t>
      </w:r>
    </w:p>
    <w:p>
      <w:r>
        <w:rPr>
          <w:color w:val="595959"/>
          <w:sz w:val="20"/>
        </w:rPr>
        <w:t>Service information sheet. Cybersecurity, IT and Data Protection. Information checked 11 October 2026.</w:t>
      </w:r>
    </w:p>
    <w:p>
      <w:pPr>
        <w:pBdr>
          <w:bottom w:val="single" w:sz="8" w:space="1" w:color="808080"/>
        </w:pBdr>
        <w:spacing w:after="120"/>
      </w:pPr>
    </w:p>
    <w:p>
      <w:pPr>
        <w:pStyle w:val="Heading2"/>
      </w:pPr>
      <w:r>
        <w:t>In brief</w:t>
      </w:r>
    </w:p>
    <w:p>
      <w:r>
        <w:rPr>
          <w:i w:val="0"/>
        </w:rPr>
        <w:t>The Global and APEC Privacy Recognition for Processors (PRP) certifies that a service provider processing personal data for clients has the security safeguards and accountability to protect it. IMDA certifies Singapore processors after an assessment by an appointed body. ICFC prepares you and trains your team.</w:t>
      </w:r>
    </w:p>
    <w:p>
      <w:pPr>
        <w:pStyle w:val="Heading2"/>
      </w:pPr>
      <w:r>
        <w:t>What it is</w:t>
      </w:r>
    </w:p>
    <w:p>
      <w:r>
        <w:rPr>
          <w:i w:val="0"/>
        </w:rPr>
        <w:t>PRP lets data processors show controllers that they can meet privacy obligations on their behalf, with a focus on security safeguards and accountability. Singapore processors are certified by IMDA after an appointed body's assessment.</w:t>
      </w:r>
    </w:p>
    <w:p>
      <w:pPr>
        <w:pStyle w:val="Heading2"/>
      </w:pPr>
      <w:r>
        <w:t>Who it is for</w:t>
      </w:r>
    </w:p>
    <w:p>
      <w:r>
        <w:rPr>
          <w:i w:val="0"/>
        </w:rPr>
        <w:t>Outsourcing, IT, cloud, payroll and other service providers that process personal data for clients.</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Third-party assessments: Certification is awarded under the scheme run by IMDA as Singapore's recognised Accountability Agent. Where appointed, our auditors carry out assessments on behalf of the certification body; the certificate or mark is never issued by ICFC. Second-party audits: Supplier and partner checks against the scheme requirements, on behalf of your organisation. Readiness and internal audits: A pre-assessment that shows exactly what the formal assessment will look for, with a prioritised action list.</w:t>
            </w:r>
          </w:p>
        </w:tc>
      </w:tr>
      <w:tr>
        <w:tc>
          <w:tcPr>
            <w:tcW w:type="dxa" w:w="1701"/>
          </w:tcPr>
          <w:p>
            <w:r/>
            <w:r>
              <w:rPr>
                <w:sz w:val="17"/>
              </w:rPr>
              <w:t>Consulting</w:t>
            </w:r>
          </w:p>
        </w:tc>
        <w:tc>
          <w:tcPr>
            <w:tcW w:type="dxa" w:w="7937"/>
          </w:tcPr>
          <w:p>
            <w:r/>
            <w:r>
              <w:rPr>
                <w:sz w:val="17"/>
              </w:rPr>
              <w:t>Funding: We explain which scheme, if any, applies and what it requires before you commit.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courses on PRP: awareness, implementation and internal auditor levels.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IMDA scheme, check funding. </w:t>
      </w:r>
      <w:r>
        <w:rPr>
          <w:i w:val="0"/>
        </w:rPr>
        <w:t>IMDA indicates that funding support may be available for part of the consultancy and certification costs. Check the IMDA information kit and Enterprise Singapore before you apply.</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Who needs PRP?</w:t>
      </w:r>
    </w:p>
    <w:p>
      <w:r>
        <w:rPr>
          <w:b/>
        </w:rPr>
        <w:t xml:space="preserve">A. </w:t>
      </w:r>
      <w:r>
        <w:rPr>
          <w:i w:val="0"/>
        </w:rPr>
        <w:t>Processors whose clients want assurance that their data is handled to a recognised international standard.</w:t>
      </w:r>
    </w:p>
    <w:p>
      <w:pPr>
        <w:spacing w:after="0"/>
      </w:pPr>
      <w:r>
        <w:rPr>
          <w:b/>
        </w:rPr>
        <w:t xml:space="preserve">Q. </w:t>
      </w:r>
      <w:r>
        <w:rPr>
          <w:i w:val="0"/>
        </w:rPr>
        <w:t>Can we hold both CBPR and PRP?</w:t>
      </w:r>
    </w:p>
    <w:p>
      <w:r>
        <w:rPr>
          <w:b/>
        </w:rPr>
        <w:t xml:space="preserve">A. </w:t>
      </w:r>
      <w:r>
        <w:rPr>
          <w:i w:val="0"/>
        </w:rPr>
        <w:t>Yes, if you act as a controller for some data and a processor for other data.</w:t>
      </w:r>
    </w:p>
    <w:p>
      <w:pPr>
        <w:spacing w:after="0"/>
      </w:pPr>
      <w:r>
        <w:rPr>
          <w:b/>
        </w:rPr>
        <w:t xml:space="preserve">Q. </w:t>
      </w:r>
      <w:r>
        <w:rPr>
          <w:i w:val="0"/>
        </w:rPr>
        <w:t>What does the assessment focus on?</w:t>
      </w:r>
    </w:p>
    <w:p>
      <w:r>
        <w:rPr>
          <w:b/>
        </w:rPr>
        <w:t xml:space="preserve">A. </w:t>
      </w:r>
      <w:r>
        <w:rPr>
          <w:i w:val="0"/>
        </w:rPr>
        <w:t>Security safeguards and accountability, checked against the PRP programme requirements.</w:t>
      </w:r>
    </w:p>
    <w:p>
      <w:pPr>
        <w:spacing w:after="0"/>
      </w:pPr>
      <w:r>
        <w:rPr>
          <w:b/>
        </w:rPr>
        <w:t xml:space="preserve">Q. </w:t>
      </w:r>
      <w:r>
        <w:rPr>
          <w:i w:val="0"/>
        </w:rPr>
        <w:t>How does PRP compare with ISO/IEC 27701?</w:t>
      </w:r>
    </w:p>
    <w:p>
      <w:r>
        <w:rPr>
          <w:b/>
        </w:rPr>
        <w:t xml:space="preserve">A. </w:t>
      </w:r>
      <w:r>
        <w:rPr>
          <w:i w:val="0"/>
        </w:rPr>
        <w:t>Both cover processor obligations. PRP is a privacy recognition scheme; ISO/IEC 27701 is a certifiable privacy management system.</w:t>
      </w:r>
    </w:p>
    <w:p>
      <w:pPr>
        <w:pStyle w:val="Heading2"/>
      </w:pPr>
      <w:r>
        <w:t>Related services</w:t>
      </w:r>
    </w:p>
    <w:p>
      <w:pPr>
        <w:pStyle w:val="ListBullet"/>
        <w:spacing w:after="40"/>
      </w:pPr>
      <w:r>
        <w:t>Global and APEC Cross-Border Privacy Rules (CBPR) System</w:t>
      </w:r>
    </w:p>
    <w:p>
      <w:pPr>
        <w:pStyle w:val="ListBullet"/>
        <w:spacing w:after="40"/>
      </w:pPr>
      <w:r>
        <w:t>ISO/IEC 27701 Privacy Information Management System (PIMS)</w:t>
      </w:r>
    </w:p>
    <w:p>
      <w:pPr>
        <w:pStyle w:val="ListBullet"/>
        <w:spacing w:after="40"/>
      </w:pPr>
      <w:r>
        <w:t>ISO/IEC 27018 Protection of personal data in public clouds</w:t>
      </w:r>
    </w:p>
    <w:p>
      <w:pPr>
        <w:pStyle w:val="ListBullet"/>
        <w:spacing w:after="40"/>
      </w:pPr>
      <w:r>
        <w:t>Data Protection Trustmark (DPTM) SS 714</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