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GDPR compliance (consulting and training)</w:t>
      </w:r>
    </w:p>
    <w:p>
      <w:r>
        <w:rPr>
          <w:color w:val="595959"/>
          <w:sz w:val="20"/>
        </w:rPr>
        <w:t>Service information sheet. Cybersecurity, IT and Data Protection. Information checked 12 October 2026.</w:t>
      </w:r>
    </w:p>
    <w:p>
      <w:pPr>
        <w:pBdr>
          <w:bottom w:val="single" w:sz="8" w:space="1" w:color="808080"/>
        </w:pBdr>
        <w:spacing w:after="120"/>
      </w:pPr>
    </w:p>
    <w:p>
      <w:pPr>
        <w:pStyle w:val="Heading2"/>
      </w:pPr>
      <w:r>
        <w:t>In brief</w:t>
      </w:r>
    </w:p>
    <w:p>
      <w:r>
        <w:rPr>
          <w:i w:val="0"/>
        </w:rPr>
        <w:t>The GDPR protects the personal data of people in the EU and can apply to Singapore organisations that serve or monitor them, or that process data for EU clients. ICFC maps your obligations, builds records of processing, impact assessments, transfer safeguards and breach procedures, and trains your team. There is no general GDPR certificate.</w:t>
      </w:r>
    </w:p>
    <w:p>
      <w:pPr>
        <w:pStyle w:val="Heading2"/>
      </w:pPr>
      <w:r>
        <w:t>What it is</w:t>
      </w:r>
    </w:p>
    <w:p>
      <w:r>
        <w:rPr>
          <w:i w:val="0"/>
        </w:rPr>
        <w:t>The General Data Protection Regulation (EU) 2016/679 governs the personal data of people in the European Union. It applies to organisations outside the EU, including in Singapore, when they offer goods or services to people in the EU or monitor their behaviour there, and processors working for EU clients take on GDPR duties by contract. The EU has not issued an adequacy decision for Singapore, so transfers from the EU to Singapore rely on safeguards such as standard contractual clauses.</w:t>
      </w:r>
    </w:p>
    <w:p>
      <w:pPr>
        <w:pStyle w:val="Heading2"/>
      </w:pPr>
      <w:r>
        <w:t>Who it is for</w:t>
      </w:r>
    </w:p>
    <w:p>
      <w:r>
        <w:rPr>
          <w:i w:val="0"/>
        </w:rPr>
        <w:t>Singapore and regional organisations with EU customers, users, staff or clients, including SaaS, e-commerce, travel, education, research and outsourcing providers.</w:t>
      </w:r>
    </w:p>
    <w:p>
      <w:pPr>
        <w:pStyle w:val="Heading2"/>
      </w:pPr>
      <w:r>
        <w:t>Key obligations</w:t>
      </w:r>
    </w:p>
    <w:p>
      <w:r>
        <w:rPr>
          <w:i w:val="0"/>
        </w:rPr>
        <w:t>A lawful basis and clear notices, records of processing activities, data protection impact assessments for high-risk processing, answers to rights requests within one month, security of processing, processor contracts, transfer safeguards, and notice to the supervisory authority within 72 hours of becoming aware of a reportable breach.</w:t>
      </w:r>
    </w:p>
    <w:p>
      <w:pPr>
        <w:pStyle w:val="Heading2"/>
      </w:pPr>
      <w:r>
        <w:t>EU representative</w:t>
      </w:r>
    </w:p>
    <w:p>
      <w:r>
        <w:rPr>
          <w:i w:val="0"/>
        </w:rPr>
        <w:t>Organisations outside the EU that fall under the GDPR because they target or monitor people in the EU usually need to appoint a representative in the EU. ICFC does not act as an EU representative; we help you decide whether you need one.</w:t>
      </w:r>
    </w:p>
    <w:p>
      <w:pPr>
        <w:pStyle w:val="Heading2"/>
      </w:pPr>
      <w:r>
        <w:t>PDPA and GDPR together</w:t>
      </w:r>
    </w:p>
    <w:p>
      <w:r>
        <w:rPr>
          <w:i w:val="0"/>
        </w:rPr>
        <w:t>Many PDPA practices carry over, but the GDPR adds lawful bases beyond consent, wider rights and a 72-hour breach clock. We map both so you run one privacy programme. ISO/IEC 27701 and the Data Protection Trustmark can support the same controls.</w:t>
      </w:r>
    </w:p>
    <w:p>
      <w:pPr>
        <w:pStyle w:val="Heading2"/>
      </w:pPr>
      <w:r>
        <w:t>Rule changes to watch</w:t>
      </w:r>
    </w:p>
    <w:p>
      <w:r>
        <w:rPr>
          <w:i w:val="0"/>
        </w:rPr>
        <w:t>The EU's Digital Omnibus proposals would amend parts of the GDPR and the cookie rules. When we checked on 12 October 2026 they were still being negotiated, so the current GDPR applies.</w:t>
      </w:r>
    </w:p>
    <w:p>
      <w:pPr>
        <w:pStyle w:val="Heading2"/>
      </w:pPr>
      <w:r>
        <w:t>Our role</w:t>
      </w:r>
    </w:p>
    <w:p>
      <w:r>
        <w:rPr>
          <w:i w:val="0"/>
        </w:rPr>
        <w:t>Consulting and training only. ICFC is not a law firm and does not give legal advice; for legal opinions on EU law, consult an EU-qualified lawyer.</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Certification: The GDPR allows certification under schemes approved by data protection authorities or the European Data Protection Board, issued by accredited certification bodies. ICFC does not issue GDPR certificates. Compliance assessments: First-party gap assessments against the GDPR principles, lawful bases, rights handling, security, international transfers and accountability records, with a prioritised action list. Processor reviews: Second-party reviews of your processors and sub-processors against your data processing agreements.</w:t>
            </w:r>
          </w:p>
        </w:tc>
      </w:tr>
      <w:tr>
        <w:tc>
          <w:tcPr>
            <w:tcW w:type="dxa" w:w="1701"/>
          </w:tcPr>
          <w:p>
            <w:r/>
            <w:r>
              <w:rPr>
                <w:sz w:val="17"/>
              </w:rPr>
              <w:t>Consulting</w:t>
            </w:r>
          </w:p>
        </w:tc>
        <w:tc>
          <w:tcPr>
            <w:tcW w:type="dxa" w:w="7937"/>
          </w:tcPr>
          <w:p>
            <w:r/>
            <w:r>
              <w:rPr>
                <w:sz w:val="17"/>
              </w:rPr>
              <w:t>Funding: We explain which scheme, if any, applies and what it requires before you commit.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sessions. Courses on GDPR: staff awareness, records of processing and impact assessments, handling rights requests, and international transfers.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Not on the EDGE Standards list. </w:t>
      </w:r>
      <w:r>
        <w:rPr>
          <w:i w:val="0"/>
        </w:rPr>
        <w:t>We did not find this framework on the EDGE Standards list when we checked, so we quote it as a non-grant engagement. Check Enterprise Singapore before you assume any grant support.</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Does the GDPR apply to us in Singapore?</w:t>
      </w:r>
    </w:p>
    <w:p>
      <w:r>
        <w:rPr>
          <w:b/>
        </w:rPr>
        <w:t xml:space="preserve">A. </w:t>
      </w:r>
      <w:r>
        <w:rPr>
          <w:i w:val="0"/>
        </w:rPr>
        <w:t>It can, if you offer goods or services to people in the EU, monitor their behaviour there, or process personal data for EU clients. We assess this from your actual activities.</w:t>
      </w:r>
    </w:p>
    <w:p>
      <w:pPr>
        <w:spacing w:after="0"/>
      </w:pPr>
      <w:r>
        <w:rPr>
          <w:b/>
        </w:rPr>
        <w:t xml:space="preserve">Q. </w:t>
      </w:r>
      <w:r>
        <w:rPr>
          <w:i w:val="0"/>
        </w:rPr>
        <w:t>Is there a GDPR certification?</w:t>
      </w:r>
    </w:p>
    <w:p>
      <w:r>
        <w:rPr>
          <w:b/>
        </w:rPr>
        <w:t xml:space="preserve">A. </w:t>
      </w:r>
      <w:r>
        <w:rPr>
          <w:i w:val="0"/>
        </w:rPr>
        <w:t>There is no general GDPR certificate. The regulation allows approved certification schemes, including European Data Protection Seal schemes endorsed by the European Data Protection Board, issued by accredited certification bodies.</w:t>
      </w:r>
    </w:p>
    <w:p>
      <w:pPr>
        <w:spacing w:after="0"/>
      </w:pPr>
      <w:r>
        <w:rPr>
          <w:b/>
        </w:rPr>
        <w:t xml:space="preserve">Q. </w:t>
      </w:r>
      <w:r>
        <w:rPr>
          <w:i w:val="0"/>
        </w:rPr>
        <w:t>Can EU clients send personal data to Singapore?</w:t>
      </w:r>
    </w:p>
    <w:p>
      <w:r>
        <w:rPr>
          <w:b/>
        </w:rPr>
        <w:t xml:space="preserve">A. </w:t>
      </w:r>
      <w:r>
        <w:rPr>
          <w:i w:val="0"/>
        </w:rPr>
        <w:t>Yes, with safeguards. Singapore has no EU adequacy decision, so transfers usually rely on standard contractual clauses or other approved tools, supported by a transfer risk assessment.</w:t>
      </w:r>
    </w:p>
    <w:p>
      <w:pPr>
        <w:spacing w:after="0"/>
      </w:pPr>
      <w:r>
        <w:rPr>
          <w:b/>
        </w:rPr>
        <w:t xml:space="preserve">Q. </w:t>
      </w:r>
      <w:r>
        <w:rPr>
          <w:i w:val="0"/>
        </w:rPr>
        <w:t>How does the GDPR differ from the PDPA?</w:t>
      </w:r>
    </w:p>
    <w:p>
      <w:r>
        <w:rPr>
          <w:b/>
        </w:rPr>
        <w:t xml:space="preserve">A. </w:t>
      </w:r>
      <w:r>
        <w:rPr>
          <w:i w:val="0"/>
        </w:rPr>
        <w:t>Both are principle-based. The GDPR adds more lawful bases, stronger rights, a 72-hour breach clock, and fines of up to 4% of worldwide annual turnover or EUR 20 million, whichever is higher.</w:t>
      </w:r>
    </w:p>
    <w:p>
      <w:pPr>
        <w:pStyle w:val="Heading2"/>
      </w:pPr>
      <w:r>
        <w:t>Related services</w:t>
      </w:r>
    </w:p>
    <w:p>
      <w:pPr>
        <w:pStyle w:val="ListBullet"/>
        <w:spacing w:after="40"/>
      </w:pPr>
      <w:r>
        <w:t>ISO/IEC 27701 Privacy Information Management System (PIMS)</w:t>
      </w:r>
    </w:p>
    <w:p>
      <w:pPr>
        <w:pStyle w:val="ListBullet"/>
        <w:spacing w:after="40"/>
      </w:pPr>
      <w:r>
        <w:t>Data Protection Trustmark (DPTM) SS 714</w:t>
      </w:r>
    </w:p>
    <w:p>
      <w:pPr>
        <w:pStyle w:val="ListBullet"/>
        <w:spacing w:after="40"/>
      </w:pPr>
      <w:r>
        <w:t>Global and APEC Cross-Border Privacy Rules (CBPR) System</w:t>
      </w:r>
    </w:p>
    <w:p>
      <w:pPr>
        <w:pStyle w:val="ListBullet"/>
        <w:spacing w:after="40"/>
      </w:pPr>
      <w:r>
        <w:t>Global and APEC Privacy Recognition for Processors (PRP)</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